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7777777" w:rsidR="0071179C" w:rsidRPr="00813B41" w:rsidRDefault="0071179C" w:rsidP="00E9205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 </w:t>
            </w:r>
            <w:r w:rsidR="00E92053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75FCD742" w:rsidR="0071179C" w:rsidRPr="00813B41" w:rsidRDefault="000144AF" w:rsidP="000144A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June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795DA5A2" w14:textId="105DCC85" w:rsidR="000144AF" w:rsidRDefault="000144AF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D443F9">
        <w:rPr>
          <w:rFonts w:ascii="Arial" w:hAnsi="Arial" w:cs="Arial"/>
        </w:rPr>
        <w:t xml:space="preserve">incredibly proud </w:t>
      </w:r>
      <w:r>
        <w:rPr>
          <w:rFonts w:ascii="Arial" w:hAnsi="Arial" w:cs="Arial"/>
        </w:rPr>
        <w:t xml:space="preserve">to confirm that all adults in Wales </w:t>
      </w:r>
      <w:proofErr w:type="gramStart"/>
      <w:r>
        <w:rPr>
          <w:rFonts w:ascii="Arial" w:hAnsi="Arial" w:cs="Arial"/>
        </w:rPr>
        <w:t>have been offered</w:t>
      </w:r>
      <w:proofErr w:type="gramEnd"/>
      <w:r>
        <w:rPr>
          <w:rFonts w:ascii="Arial" w:hAnsi="Arial" w:cs="Arial"/>
        </w:rPr>
        <w:t xml:space="preserve"> a COVID-19 </w:t>
      </w:r>
      <w:r w:rsidR="002B04EC">
        <w:rPr>
          <w:rFonts w:ascii="Arial" w:hAnsi="Arial" w:cs="Arial"/>
        </w:rPr>
        <w:t>vaccine;</w:t>
      </w:r>
      <w:r>
        <w:rPr>
          <w:rFonts w:ascii="Arial" w:hAnsi="Arial" w:cs="Arial"/>
        </w:rPr>
        <w:t xml:space="preserve"> this offer is six weeks ahead of schedule. </w:t>
      </w:r>
      <w:r w:rsidRPr="008E39AA">
        <w:rPr>
          <w:rFonts w:ascii="Arial" w:hAnsi="Arial" w:cs="Arial"/>
        </w:rPr>
        <w:t>Over 3</w:t>
      </w:r>
      <w:r w:rsidR="00CE41D2">
        <w:rPr>
          <w:rFonts w:ascii="Arial" w:hAnsi="Arial" w:cs="Arial"/>
        </w:rPr>
        <w:t>.6</w:t>
      </w:r>
      <w:r w:rsidRPr="008E39AA">
        <w:rPr>
          <w:rFonts w:ascii="Arial" w:hAnsi="Arial" w:cs="Arial"/>
        </w:rPr>
        <w:t xml:space="preserve"> million doses of the vaccine </w:t>
      </w:r>
      <w:proofErr w:type="gramStart"/>
      <w:r w:rsidRPr="008E39AA">
        <w:rPr>
          <w:rFonts w:ascii="Arial" w:hAnsi="Arial" w:cs="Arial"/>
        </w:rPr>
        <w:t>have been delivered</w:t>
      </w:r>
      <w:proofErr w:type="gramEnd"/>
      <w:r w:rsidRPr="008E39AA">
        <w:rPr>
          <w:rFonts w:ascii="Arial" w:hAnsi="Arial" w:cs="Arial"/>
        </w:rPr>
        <w:t xml:space="preserve"> in Wales</w:t>
      </w:r>
      <w:r>
        <w:rPr>
          <w:rFonts w:ascii="Arial" w:hAnsi="Arial" w:cs="Arial"/>
        </w:rPr>
        <w:t xml:space="preserve">. </w:t>
      </w:r>
    </w:p>
    <w:p w14:paraId="0C2FD607" w14:textId="6050085C" w:rsidR="004309CE" w:rsidRDefault="000144AF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Wales is leading the world when it comes to the percentage of our population who </w:t>
      </w:r>
      <w:proofErr w:type="gramStart"/>
      <w:r>
        <w:rPr>
          <w:rFonts w:ascii="Arial" w:hAnsi="Arial" w:cs="Arial"/>
        </w:rPr>
        <w:t>have been vaccinated</w:t>
      </w:r>
      <w:proofErr w:type="gramEnd"/>
      <w:r>
        <w:rPr>
          <w:rFonts w:ascii="Arial" w:hAnsi="Arial" w:cs="Arial"/>
        </w:rPr>
        <w:t xml:space="preserve">; 87% of our adult population have had their first dose, and 54% have received their second dose to complete protection against COVID-19.  </w:t>
      </w:r>
    </w:p>
    <w:p w14:paraId="5870A6BC" w14:textId="60C33D37" w:rsidR="000144AF" w:rsidRDefault="000144AF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We are continuing to work towards achieving milestone 3 as set out in our Strategy.</w:t>
      </w:r>
      <w:r w:rsidRPr="000144AF">
        <w:t xml:space="preserve"> </w:t>
      </w:r>
      <w:r>
        <w:rPr>
          <w:rFonts w:ascii="Arial" w:hAnsi="Arial" w:cs="Arial"/>
        </w:rPr>
        <w:t xml:space="preserve">As well as offering the COVID-19 vaccine to all our eligible adult population, we are </w:t>
      </w:r>
      <w:r w:rsidR="002B04EC">
        <w:rPr>
          <w:rFonts w:ascii="Arial" w:hAnsi="Arial" w:cs="Arial"/>
        </w:rPr>
        <w:t xml:space="preserve">turning our focus to maximising vaccine coverage </w:t>
      </w:r>
      <w:proofErr w:type="gramStart"/>
      <w:r w:rsidR="002B04EC">
        <w:rPr>
          <w:rFonts w:ascii="Arial" w:hAnsi="Arial" w:cs="Arial"/>
        </w:rPr>
        <w:t>for all and</w:t>
      </w:r>
      <w:r>
        <w:rPr>
          <w:rFonts w:ascii="Arial" w:hAnsi="Arial" w:cs="Arial"/>
        </w:rPr>
        <w:t xml:space="preserve"> to achieve at least 75% up take</w:t>
      </w:r>
      <w:proofErr w:type="gramEnd"/>
      <w:r>
        <w:rPr>
          <w:rFonts w:ascii="Arial" w:hAnsi="Arial" w:cs="Arial"/>
        </w:rPr>
        <w:t xml:space="preserve">. If anyone thinks they have been missed, or has not yet received their offer of vaccination for whatever reason, you can find out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 contact </w:t>
      </w:r>
      <w:hyperlink r:id="rId11" w:history="1">
        <w:r w:rsidRPr="000144AF">
          <w:rPr>
            <w:rStyle w:val="Hyperlink"/>
            <w:rFonts w:ascii="Arial" w:hAnsi="Arial" w:cs="Arial"/>
          </w:rPr>
          <w:t>here.</w:t>
        </w:r>
      </w:hyperlink>
    </w:p>
    <w:p w14:paraId="67FDC4CD" w14:textId="0B29170E" w:rsidR="002B04EC" w:rsidRPr="00601C70" w:rsidRDefault="002B04EC" w:rsidP="004309CE">
      <w:pPr>
        <w:pStyle w:val="NormalWeb"/>
        <w:rPr>
          <w:rFonts w:ascii="Arial" w:hAnsi="Arial" w:cs="Arial"/>
          <w:lang w:val="en"/>
        </w:rPr>
      </w:pPr>
      <w:r w:rsidRPr="002B04EC">
        <w:rPr>
          <w:rFonts w:ascii="Arial" w:hAnsi="Arial" w:cs="Arial"/>
        </w:rPr>
        <w:lastRenderedPageBreak/>
        <w:t>It is</w:t>
      </w:r>
      <w:r>
        <w:rPr>
          <w:rFonts w:ascii="Arial" w:hAnsi="Arial" w:cs="Arial"/>
        </w:rPr>
        <w:t xml:space="preserve"> vitally</w:t>
      </w:r>
      <w:r w:rsidRPr="002B04EC">
        <w:rPr>
          <w:rFonts w:ascii="Arial" w:hAnsi="Arial" w:cs="Arial"/>
        </w:rPr>
        <w:t xml:space="preserve"> important that we maintain the current high-levels of vaccine uptake to keep Wales </w:t>
      </w:r>
      <w:r w:rsidR="00274FF6" w:rsidRPr="002B04EC">
        <w:rPr>
          <w:rFonts w:ascii="Arial" w:hAnsi="Arial" w:cs="Arial"/>
        </w:rPr>
        <w:t>safe</w:t>
      </w:r>
      <w:r w:rsidR="00274FF6">
        <w:rPr>
          <w:rFonts w:ascii="Arial" w:hAnsi="Arial" w:cs="Arial"/>
        </w:rPr>
        <w:t>;</w:t>
      </w:r>
      <w:r w:rsidR="004C66DF">
        <w:rPr>
          <w:rFonts w:ascii="Arial" w:hAnsi="Arial" w:cs="Arial"/>
        </w:rPr>
        <w:t xml:space="preserve"> this is for both first and second doses</w:t>
      </w:r>
      <w:r w:rsidRPr="002B04EC">
        <w:rPr>
          <w:rFonts w:ascii="Arial" w:hAnsi="Arial" w:cs="Arial"/>
        </w:rPr>
        <w:t>. No one left behind is a key principle to our vaccination programme</w:t>
      </w:r>
      <w:r>
        <w:rPr>
          <w:rFonts w:ascii="Arial" w:hAnsi="Arial" w:cs="Arial"/>
        </w:rPr>
        <w:t>.</w:t>
      </w:r>
      <w:r w:rsidRPr="002B04EC">
        <w:rPr>
          <w:rFonts w:ascii="Arial" w:hAnsi="Arial" w:cs="Arial"/>
        </w:rPr>
        <w:t xml:space="preserve"> </w:t>
      </w:r>
      <w:r w:rsidR="004309CE">
        <w:rPr>
          <w:rFonts w:ascii="Arial" w:hAnsi="Arial" w:cs="Arial"/>
        </w:rPr>
        <w:t>I would like to remind everyone that t</w:t>
      </w:r>
      <w:r w:rsidR="004309CE" w:rsidRPr="001E70E5">
        <w:rPr>
          <w:rFonts w:ascii="Arial" w:hAnsi="Arial" w:cs="Arial"/>
        </w:rPr>
        <w:t>he vaccine</w:t>
      </w:r>
      <w:r w:rsidR="004309CE">
        <w:rPr>
          <w:rFonts w:ascii="Arial" w:hAnsi="Arial" w:cs="Arial"/>
        </w:rPr>
        <w:t xml:space="preserve"> programme is open and</w:t>
      </w:r>
      <w:r w:rsidR="004309CE" w:rsidRPr="001E70E5">
        <w:rPr>
          <w:rFonts w:ascii="Arial" w:hAnsi="Arial" w:cs="Arial"/>
        </w:rPr>
        <w:t xml:space="preserve"> available for all eligible adults in Wales</w:t>
      </w:r>
      <w:r>
        <w:rPr>
          <w:rFonts w:ascii="Arial" w:hAnsi="Arial" w:cs="Arial"/>
        </w:rPr>
        <w:t xml:space="preserve"> and I strongly encourage you all to take up your offer of vaccination. </w:t>
      </w:r>
      <w:r w:rsidR="00E941A4">
        <w:rPr>
          <w:rFonts w:ascii="Arial" w:hAnsi="Arial" w:cs="Arial"/>
        </w:rPr>
        <w:t>This includes the second dose offer</w:t>
      </w:r>
      <w:r w:rsidR="005A1128">
        <w:rPr>
          <w:rFonts w:ascii="Arial" w:hAnsi="Arial" w:cs="Arial"/>
        </w:rPr>
        <w:t xml:space="preserve"> which is essential for </w:t>
      </w:r>
      <w:proofErr w:type="gramStart"/>
      <w:r w:rsidR="005A1128">
        <w:rPr>
          <w:rFonts w:ascii="Arial" w:hAnsi="Arial" w:cs="Arial"/>
        </w:rPr>
        <w:t>longer term</w:t>
      </w:r>
      <w:proofErr w:type="gramEnd"/>
      <w:r w:rsidR="005A1128">
        <w:rPr>
          <w:rFonts w:ascii="Arial" w:hAnsi="Arial" w:cs="Arial"/>
        </w:rPr>
        <w:t xml:space="preserve"> protection and </w:t>
      </w:r>
      <w:r w:rsidR="005A1128">
        <w:rPr>
          <w:rFonts w:ascii="Arial" w:hAnsi="Arial" w:cs="Arial"/>
          <w:lang w:val="en"/>
        </w:rPr>
        <w:t xml:space="preserve">Public Health England research shows two doses of vaccines offers strong protection against the Delta variant which we are continuing to closely monitor in </w:t>
      </w:r>
      <w:r w:rsidR="005A1128" w:rsidRPr="00601C70">
        <w:rPr>
          <w:rFonts w:ascii="Arial" w:hAnsi="Arial" w:cs="Arial"/>
          <w:lang w:val="en"/>
        </w:rPr>
        <w:t>Wales.</w:t>
      </w:r>
    </w:p>
    <w:p w14:paraId="1F9A988F" w14:textId="50A9AECA" w:rsidR="007264F6" w:rsidRPr="00AF5314" w:rsidRDefault="007264F6" w:rsidP="007264F6">
      <w:pPr>
        <w:rPr>
          <w:rFonts w:ascii="Arial" w:hAnsi="Arial" w:cs="Arial"/>
          <w:sz w:val="24"/>
          <w:szCs w:val="24"/>
          <w:lang w:val="en" w:eastAsia="en-GB"/>
        </w:rPr>
      </w:pPr>
      <w:r w:rsidRPr="00601C70">
        <w:rPr>
          <w:rFonts w:ascii="Arial" w:hAnsi="Arial" w:cs="Arial"/>
          <w:sz w:val="24"/>
          <w:szCs w:val="24"/>
          <w:lang w:val="en" w:eastAsia="en-GB"/>
        </w:rPr>
        <w:t xml:space="preserve">In line with the JCVI advice, we will be shortening the interval between first and second doses of vaccine for people at increased risk of contracting COVID-19, especially those living in areas where there are concerns about the Delta variant </w:t>
      </w:r>
      <w:r w:rsidRPr="00601C70">
        <w:rPr>
          <w:rFonts w:ascii="Arial" w:hAnsi="Arial" w:cs="Arial"/>
          <w:sz w:val="24"/>
          <w:szCs w:val="24"/>
          <w:lang w:val="en"/>
        </w:rPr>
        <w:t>and in accordance with vaccine supplies. </w:t>
      </w:r>
      <w:r w:rsidRPr="00601C70">
        <w:rPr>
          <w:rFonts w:ascii="Arial" w:hAnsi="Arial" w:cs="Arial"/>
          <w:sz w:val="24"/>
          <w:szCs w:val="24"/>
          <w:lang w:val="en" w:eastAsia="en-GB"/>
        </w:rPr>
        <w:t>Health boards will oversee this work for their local populations area. We are aiming to offer all eligible adults two doses of vaccine by the end of September.</w:t>
      </w:r>
    </w:p>
    <w:p w14:paraId="42662FF4" w14:textId="41DFFC61" w:rsidR="00F95C8A" w:rsidRDefault="00F95C8A" w:rsidP="004309CE">
      <w:pPr>
        <w:pStyle w:val="NormalWeb"/>
        <w:rPr>
          <w:rFonts w:ascii="Arial" w:hAnsi="Arial" w:cs="Arial"/>
        </w:rPr>
      </w:pPr>
    </w:p>
    <w:p w14:paraId="3AF5F45D" w14:textId="67C747FF" w:rsidR="004309CE" w:rsidRDefault="000E3B6C" w:rsidP="004309C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Today I will publish our COVID-19 vaccination programme </w:t>
      </w:r>
      <w:hyperlink r:id="rId12" w:history="1">
        <w:r w:rsidRPr="000E3B6C">
          <w:rPr>
            <w:rStyle w:val="Hyperlink"/>
            <w:rFonts w:ascii="Arial" w:hAnsi="Arial" w:cs="Arial"/>
          </w:rPr>
          <w:t>weekly update</w:t>
        </w:r>
      </w:hyperlink>
      <w:r>
        <w:rPr>
          <w:rFonts w:ascii="Arial" w:hAnsi="Arial" w:cs="Arial"/>
        </w:rPr>
        <w:t xml:space="preserve">. </w:t>
      </w:r>
      <w:r w:rsidR="002B04EC">
        <w:rPr>
          <w:rFonts w:ascii="Arial" w:hAnsi="Arial" w:cs="Arial"/>
        </w:rPr>
        <w:t xml:space="preserve">As always, I am extremely grateful to all </w:t>
      </w:r>
      <w:r w:rsidR="002B04EC" w:rsidRPr="008E39AA">
        <w:rPr>
          <w:rFonts w:ascii="Arial" w:hAnsi="Arial" w:cs="Arial"/>
          <w:lang w:val="en"/>
        </w:rPr>
        <w:t xml:space="preserve">our NHS colleagues and all the volunteers across Wales </w:t>
      </w:r>
      <w:r w:rsidR="002B04EC">
        <w:rPr>
          <w:rFonts w:ascii="Arial" w:hAnsi="Arial" w:cs="Arial"/>
          <w:lang w:val="en"/>
        </w:rPr>
        <w:t xml:space="preserve">to make our progress in the vaccination programme possible. </w:t>
      </w:r>
    </w:p>
    <w:p w14:paraId="56C8E965" w14:textId="77777777" w:rsidR="004309CE" w:rsidRDefault="004309CE" w:rsidP="004309CE">
      <w:pPr>
        <w:jc w:val="both"/>
        <w:rPr>
          <w:rFonts w:ascii="Arial" w:hAnsi="Arial" w:cs="Arial"/>
          <w:sz w:val="24"/>
          <w:szCs w:val="24"/>
        </w:rPr>
      </w:pPr>
    </w:p>
    <w:p w14:paraId="6AC89082" w14:textId="4E1BB745" w:rsidR="00E31DAB" w:rsidRDefault="00E31DAB" w:rsidP="00E92053">
      <w:pPr>
        <w:jc w:val="both"/>
        <w:rPr>
          <w:rFonts w:ascii="Arial" w:hAnsi="Arial" w:cs="Arial"/>
          <w:sz w:val="24"/>
          <w:szCs w:val="24"/>
        </w:rPr>
      </w:pPr>
    </w:p>
    <w:sectPr w:rsidR="00E31DAB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FF6C1" w14:textId="77777777" w:rsidR="00B86A11" w:rsidRDefault="00B86A11">
      <w:r>
        <w:separator/>
      </w:r>
    </w:p>
  </w:endnote>
  <w:endnote w:type="continuationSeparator" w:id="0">
    <w:p w14:paraId="778D6908" w14:textId="77777777" w:rsidR="00B86A11" w:rsidRDefault="00B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05181A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6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294A1DA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416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6780" w14:textId="77777777" w:rsidR="00B86A11" w:rsidRDefault="00B86A11">
      <w:r>
        <w:separator/>
      </w:r>
    </w:p>
  </w:footnote>
  <w:footnote w:type="continuationSeparator" w:id="0">
    <w:p w14:paraId="5D423682" w14:textId="77777777" w:rsidR="00B86A11" w:rsidRDefault="00B8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90A42"/>
    <w:rsid w:val="001936FD"/>
    <w:rsid w:val="00194164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F08"/>
    <w:rsid w:val="00274FF6"/>
    <w:rsid w:val="00276445"/>
    <w:rsid w:val="0028388E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B1503"/>
    <w:rsid w:val="003B3D64"/>
    <w:rsid w:val="003C5133"/>
    <w:rsid w:val="003C5D07"/>
    <w:rsid w:val="003C5D34"/>
    <w:rsid w:val="003E366D"/>
    <w:rsid w:val="003E3689"/>
    <w:rsid w:val="003E6C19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5043"/>
    <w:rsid w:val="004D648F"/>
    <w:rsid w:val="004D75C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16F3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A24"/>
    <w:rsid w:val="00B63814"/>
    <w:rsid w:val="00B63EF8"/>
    <w:rsid w:val="00B66CB2"/>
    <w:rsid w:val="00B77160"/>
    <w:rsid w:val="00B81F17"/>
    <w:rsid w:val="00B86A11"/>
    <w:rsid w:val="00B90E81"/>
    <w:rsid w:val="00BA44BB"/>
    <w:rsid w:val="00BA67E7"/>
    <w:rsid w:val="00BC270E"/>
    <w:rsid w:val="00BD3D0A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covid-19-vaccination-programme-weekly-upd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get-your-covid-19-vaccination-if-you-think-you-have-been-misse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A35094160</value>
    </field>
    <field name="Objective-Title">
      <value order="0">2021-06 -15 - Written statement on Vaccination Deployment - Update against Strategy - English</value>
    </field>
    <field name="Objective-Description">
      <value order="0"/>
    </field>
    <field name="Objective-CreationStamp">
      <value order="0">2021-06-14T15:14:14Z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2021-06-15T12:35:40Z</value>
    </field>
    <field name="Objective-ModificationStamp">
      <value order="0">2021-06-15T12:35:40Z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vA69135288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2021-06-15T12:55:00Z</dcterms:created>
  <dcterms:modified xsi:type="dcterms:W3CDTF">2021-06-15T12:55:00Z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A35094160</vt:lpwstr>
  </property>
  <property fmtid="{D5CDD505-2E9C-101B-9397-08002B2CF9AE}" pid="4" name="Objective-Title">
    <vt:lpwstr>2021-06 -15 - Written statement on Vaccination Deployment - Update against Strategy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2021-06-14T15:14:20Z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2021-06-15T12:35:40Z</vt:filetime>
  </property>
  <property fmtid="{D5CDD505-2E9C-101B-9397-08002B2CF9AE}" pid="10" name="Objective-ModificationStamp">
    <vt:filetime>2021-06-15T12:35:40Z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vA69135288</vt:lpwstr>
  </property>
  <property fmtid="{D5CDD505-2E9C-101B-9397-08002B2CF9AE}" pid="28" name="Objective-Language">
    <vt:lpwstr/>
  </property>
  <property fmtid="{D5CDD505-2E9C-101B-9397-08002B2CF9AE}" pid="29" name="Objective-Date Acquired">
    <vt:filetime>2021-06-13T23:00:00Z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