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6740A" w14:textId="77777777" w:rsidR="001A39E2" w:rsidRDefault="001A39E2" w:rsidP="001A39E2">
      <w:pPr>
        <w:jc w:val="right"/>
        <w:rPr>
          <w:b/>
        </w:rPr>
      </w:pPr>
    </w:p>
    <w:p w14:paraId="138E5FF4"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79FE037" wp14:editId="74EEBFF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6119DB1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803CF95"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53F6CF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D43C71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C38F618"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77A80AA6" wp14:editId="67523E6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FA460D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14DBBD73" w14:textId="77777777" w:rsidTr="00B049B1">
        <w:tc>
          <w:tcPr>
            <w:tcW w:w="1383" w:type="dxa"/>
            <w:tcBorders>
              <w:top w:val="nil"/>
              <w:left w:val="nil"/>
              <w:bottom w:val="nil"/>
              <w:right w:val="nil"/>
            </w:tcBorders>
            <w:vAlign w:val="center"/>
          </w:tcPr>
          <w:p w14:paraId="304600E3" w14:textId="77777777" w:rsidR="00EA5290" w:rsidRDefault="00EA5290" w:rsidP="00B049B1">
            <w:pPr>
              <w:spacing w:before="120" w:after="120"/>
              <w:rPr>
                <w:rFonts w:ascii="Arial" w:hAnsi="Arial" w:cs="Arial"/>
                <w:b/>
                <w:bCs/>
                <w:sz w:val="24"/>
                <w:szCs w:val="24"/>
              </w:rPr>
            </w:pPr>
          </w:p>
          <w:p w14:paraId="089CDC36"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4B8ABA2" w14:textId="77777777" w:rsidR="00EA5290" w:rsidRPr="00670227" w:rsidRDefault="00EA5290" w:rsidP="00B049B1">
            <w:pPr>
              <w:spacing w:before="120" w:after="120"/>
              <w:rPr>
                <w:rFonts w:ascii="Arial" w:hAnsi="Arial" w:cs="Arial"/>
                <w:b/>
                <w:bCs/>
                <w:sz w:val="24"/>
                <w:szCs w:val="24"/>
              </w:rPr>
            </w:pPr>
          </w:p>
          <w:p w14:paraId="3B9D192E" w14:textId="42E20C63" w:rsidR="00EA5290" w:rsidRPr="00670227" w:rsidRDefault="00BB62F1" w:rsidP="00CC269B">
            <w:pPr>
              <w:spacing w:before="120" w:after="120"/>
              <w:rPr>
                <w:rFonts w:ascii="Arial" w:hAnsi="Arial" w:cs="Arial"/>
                <w:b/>
                <w:bCs/>
                <w:sz w:val="24"/>
                <w:szCs w:val="24"/>
              </w:rPr>
            </w:pPr>
            <w:bookmarkStart w:id="0" w:name="_Hlk184139674"/>
            <w:r>
              <w:rPr>
                <w:rFonts w:ascii="Arial" w:hAnsi="Arial" w:cs="Arial"/>
                <w:b/>
                <w:bCs/>
                <w:sz w:val="24"/>
                <w:szCs w:val="24"/>
              </w:rPr>
              <w:t xml:space="preserve">Draft </w:t>
            </w:r>
            <w:r w:rsidR="00A04DF2">
              <w:rPr>
                <w:rFonts w:ascii="Arial" w:hAnsi="Arial" w:cs="Arial"/>
                <w:b/>
                <w:bCs/>
                <w:sz w:val="24"/>
                <w:szCs w:val="24"/>
              </w:rPr>
              <w:t>Budget</w:t>
            </w:r>
            <w:r w:rsidR="002A6A1C">
              <w:rPr>
                <w:rFonts w:ascii="Arial" w:hAnsi="Arial" w:cs="Arial"/>
                <w:b/>
                <w:bCs/>
                <w:sz w:val="24"/>
                <w:szCs w:val="24"/>
              </w:rPr>
              <w:t xml:space="preserve"> </w:t>
            </w:r>
            <w:r w:rsidR="002108B8">
              <w:rPr>
                <w:rFonts w:ascii="Arial" w:hAnsi="Arial" w:cs="Arial"/>
                <w:b/>
                <w:bCs/>
                <w:sz w:val="24"/>
                <w:szCs w:val="24"/>
              </w:rPr>
              <w:t>202</w:t>
            </w:r>
            <w:r w:rsidR="00EB309E">
              <w:rPr>
                <w:rFonts w:ascii="Arial" w:hAnsi="Arial" w:cs="Arial"/>
                <w:b/>
                <w:bCs/>
                <w:sz w:val="24"/>
                <w:szCs w:val="24"/>
              </w:rPr>
              <w:t>5</w:t>
            </w:r>
            <w:r w:rsidR="002108B8">
              <w:rPr>
                <w:rFonts w:ascii="Arial" w:hAnsi="Arial" w:cs="Arial"/>
                <w:b/>
                <w:bCs/>
                <w:sz w:val="24"/>
                <w:szCs w:val="24"/>
              </w:rPr>
              <w:t>-2</w:t>
            </w:r>
            <w:r w:rsidR="00EB309E">
              <w:rPr>
                <w:rFonts w:ascii="Arial" w:hAnsi="Arial" w:cs="Arial"/>
                <w:b/>
                <w:bCs/>
                <w:sz w:val="24"/>
                <w:szCs w:val="24"/>
              </w:rPr>
              <w:t>6</w:t>
            </w:r>
            <w:r w:rsidR="00FE67B0">
              <w:rPr>
                <w:rFonts w:ascii="Arial" w:hAnsi="Arial" w:cs="Arial"/>
                <w:b/>
                <w:bCs/>
                <w:sz w:val="24"/>
                <w:szCs w:val="24"/>
              </w:rPr>
              <w:t>: Welsh Taxes</w:t>
            </w:r>
            <w:bookmarkEnd w:id="0"/>
          </w:p>
        </w:tc>
      </w:tr>
      <w:tr w:rsidR="00EA5290" w:rsidRPr="00A011A1" w14:paraId="2805198A" w14:textId="77777777" w:rsidTr="00B049B1">
        <w:tc>
          <w:tcPr>
            <w:tcW w:w="1383" w:type="dxa"/>
            <w:tcBorders>
              <w:top w:val="nil"/>
              <w:left w:val="nil"/>
              <w:bottom w:val="nil"/>
              <w:right w:val="nil"/>
            </w:tcBorders>
            <w:vAlign w:val="center"/>
          </w:tcPr>
          <w:p w14:paraId="4CFFA00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5ABB9D7" w14:textId="6B3BAE98" w:rsidR="00EA5290" w:rsidRPr="00670227" w:rsidRDefault="00EB309E" w:rsidP="00CC269B">
            <w:pPr>
              <w:spacing w:before="120" w:after="120"/>
              <w:rPr>
                <w:rFonts w:ascii="Arial" w:hAnsi="Arial" w:cs="Arial"/>
                <w:b/>
                <w:bCs/>
                <w:sz w:val="24"/>
                <w:szCs w:val="24"/>
              </w:rPr>
            </w:pPr>
            <w:r>
              <w:rPr>
                <w:rFonts w:ascii="Arial" w:hAnsi="Arial" w:cs="Arial"/>
                <w:b/>
                <w:bCs/>
                <w:sz w:val="24"/>
                <w:szCs w:val="24"/>
              </w:rPr>
              <w:t xml:space="preserve">10 </w:t>
            </w:r>
            <w:r w:rsidR="001A6771">
              <w:rPr>
                <w:rFonts w:ascii="Arial" w:hAnsi="Arial" w:cs="Arial"/>
                <w:b/>
                <w:bCs/>
                <w:sz w:val="24"/>
                <w:szCs w:val="24"/>
              </w:rPr>
              <w:t>December</w:t>
            </w:r>
            <w:r w:rsidR="003E2F8E">
              <w:rPr>
                <w:rFonts w:ascii="Arial" w:hAnsi="Arial" w:cs="Arial"/>
                <w:b/>
                <w:bCs/>
                <w:sz w:val="24"/>
                <w:szCs w:val="24"/>
              </w:rPr>
              <w:t xml:space="preserve"> 202</w:t>
            </w:r>
            <w:r>
              <w:rPr>
                <w:rFonts w:ascii="Arial" w:hAnsi="Arial" w:cs="Arial"/>
                <w:b/>
                <w:bCs/>
                <w:sz w:val="24"/>
                <w:szCs w:val="24"/>
              </w:rPr>
              <w:t>4</w:t>
            </w:r>
          </w:p>
        </w:tc>
      </w:tr>
      <w:tr w:rsidR="00EA5290" w:rsidRPr="00A011A1" w14:paraId="4084D373" w14:textId="77777777" w:rsidTr="00B049B1">
        <w:tc>
          <w:tcPr>
            <w:tcW w:w="1383" w:type="dxa"/>
            <w:tcBorders>
              <w:top w:val="nil"/>
              <w:left w:val="nil"/>
              <w:bottom w:val="nil"/>
              <w:right w:val="nil"/>
            </w:tcBorders>
            <w:vAlign w:val="center"/>
          </w:tcPr>
          <w:p w14:paraId="66B191F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5394124" w14:textId="3775ACF2" w:rsidR="00EA5290" w:rsidRPr="00670227" w:rsidRDefault="00EB309E" w:rsidP="00CC269B">
            <w:pPr>
              <w:spacing w:before="120" w:after="120"/>
              <w:rPr>
                <w:rFonts w:ascii="Arial" w:hAnsi="Arial" w:cs="Arial"/>
                <w:b/>
                <w:bCs/>
                <w:sz w:val="24"/>
                <w:szCs w:val="24"/>
              </w:rPr>
            </w:pPr>
            <w:r>
              <w:rPr>
                <w:rFonts w:ascii="Arial" w:hAnsi="Arial" w:cs="Arial"/>
                <w:b/>
                <w:bCs/>
                <w:sz w:val="24"/>
                <w:szCs w:val="24"/>
              </w:rPr>
              <w:t>Mark Drakeford</w:t>
            </w:r>
            <w:r w:rsidR="003E2F8E">
              <w:rPr>
                <w:rFonts w:ascii="Arial" w:hAnsi="Arial" w:cs="Arial"/>
                <w:b/>
                <w:bCs/>
                <w:sz w:val="24"/>
                <w:szCs w:val="24"/>
              </w:rPr>
              <w:t xml:space="preserve"> MS, </w:t>
            </w:r>
            <w:r>
              <w:rPr>
                <w:rFonts w:ascii="Arial" w:hAnsi="Arial" w:cs="Arial"/>
                <w:b/>
                <w:bCs/>
                <w:sz w:val="24"/>
                <w:szCs w:val="24"/>
              </w:rPr>
              <w:t xml:space="preserve">Cabinet Secretary </w:t>
            </w:r>
            <w:r w:rsidR="003E2F8E">
              <w:rPr>
                <w:rFonts w:ascii="Arial" w:hAnsi="Arial" w:cs="Arial"/>
                <w:b/>
                <w:bCs/>
                <w:sz w:val="24"/>
                <w:szCs w:val="24"/>
              </w:rPr>
              <w:t xml:space="preserve">for Finance and </w:t>
            </w:r>
            <w:r>
              <w:rPr>
                <w:rFonts w:ascii="Arial" w:hAnsi="Arial" w:cs="Arial"/>
                <w:b/>
                <w:bCs/>
                <w:sz w:val="24"/>
                <w:szCs w:val="24"/>
              </w:rPr>
              <w:t>Welsh Language</w:t>
            </w:r>
          </w:p>
        </w:tc>
      </w:tr>
    </w:tbl>
    <w:p w14:paraId="42B0C6A8" w14:textId="77777777" w:rsidR="00EA5290" w:rsidRPr="00A011A1" w:rsidRDefault="00EA5290" w:rsidP="00EA5290"/>
    <w:p w14:paraId="3F856641" w14:textId="77777777" w:rsidR="005D2D74" w:rsidRDefault="00B62B6F" w:rsidP="003F31A3">
      <w:pPr>
        <w:rPr>
          <w:rFonts w:ascii="Arial" w:hAnsi="Arial" w:cs="Arial"/>
          <w:sz w:val="24"/>
          <w:szCs w:val="24"/>
          <w:lang w:val="en" w:eastAsia="en-GB"/>
        </w:rPr>
      </w:pPr>
      <w:r w:rsidRPr="00C83063">
        <w:rPr>
          <w:rFonts w:ascii="Arial" w:hAnsi="Arial" w:cs="Arial"/>
          <w:sz w:val="24"/>
          <w:szCs w:val="24"/>
          <w:lang w:val="en" w:eastAsia="en-GB"/>
        </w:rPr>
        <w:t xml:space="preserve">Welsh taxes </w:t>
      </w:r>
      <w:r w:rsidR="009058C8" w:rsidRPr="00C83063">
        <w:rPr>
          <w:rFonts w:ascii="Arial" w:hAnsi="Arial" w:cs="Arial"/>
          <w:sz w:val="24"/>
          <w:szCs w:val="24"/>
          <w:lang w:val="en" w:eastAsia="en-GB"/>
        </w:rPr>
        <w:t>are a</w:t>
      </w:r>
      <w:r w:rsidRPr="00C83063">
        <w:rPr>
          <w:rFonts w:ascii="Arial" w:hAnsi="Arial" w:cs="Arial"/>
          <w:sz w:val="24"/>
          <w:szCs w:val="24"/>
          <w:lang w:val="en" w:eastAsia="en-GB"/>
        </w:rPr>
        <w:t xml:space="preserve"> vital </w:t>
      </w:r>
      <w:r w:rsidR="00FE67B0">
        <w:rPr>
          <w:rFonts w:ascii="Arial" w:hAnsi="Arial" w:cs="Arial"/>
          <w:sz w:val="24"/>
          <w:szCs w:val="24"/>
          <w:lang w:val="en" w:eastAsia="en-GB"/>
        </w:rPr>
        <w:t xml:space="preserve">part </w:t>
      </w:r>
      <w:r w:rsidRPr="00C83063">
        <w:rPr>
          <w:rFonts w:ascii="Arial" w:hAnsi="Arial" w:cs="Arial"/>
          <w:sz w:val="24"/>
          <w:szCs w:val="24"/>
          <w:lang w:val="en" w:eastAsia="en-GB"/>
        </w:rPr>
        <w:t xml:space="preserve">of </w:t>
      </w:r>
      <w:r w:rsidR="009058C8" w:rsidRPr="00C83063">
        <w:rPr>
          <w:rFonts w:ascii="Arial" w:hAnsi="Arial" w:cs="Arial"/>
          <w:sz w:val="24"/>
          <w:szCs w:val="24"/>
          <w:lang w:val="en" w:eastAsia="en-GB"/>
        </w:rPr>
        <w:t>our fiscal arrangements</w:t>
      </w:r>
      <w:r w:rsidR="00DB3135" w:rsidRPr="00C83063">
        <w:rPr>
          <w:rFonts w:ascii="Arial" w:hAnsi="Arial" w:cs="Arial"/>
          <w:sz w:val="24"/>
          <w:szCs w:val="24"/>
          <w:lang w:val="en" w:eastAsia="en-GB"/>
        </w:rPr>
        <w:t>,</w:t>
      </w:r>
      <w:r w:rsidR="009058C8" w:rsidRPr="00C83063">
        <w:rPr>
          <w:rFonts w:ascii="Arial" w:hAnsi="Arial" w:cs="Arial"/>
          <w:sz w:val="24"/>
          <w:szCs w:val="24"/>
          <w:lang w:val="en" w:eastAsia="en-GB"/>
        </w:rPr>
        <w:t xml:space="preserve"> contributing to the </w:t>
      </w:r>
      <w:r w:rsidRPr="00C83063">
        <w:rPr>
          <w:rFonts w:ascii="Arial" w:hAnsi="Arial" w:cs="Arial"/>
          <w:sz w:val="24"/>
          <w:szCs w:val="24"/>
          <w:lang w:val="en" w:eastAsia="en-GB"/>
        </w:rPr>
        <w:t xml:space="preserve">funding </w:t>
      </w:r>
      <w:r w:rsidR="00FE67B0">
        <w:rPr>
          <w:rFonts w:ascii="Arial" w:hAnsi="Arial" w:cs="Arial"/>
          <w:sz w:val="24"/>
          <w:szCs w:val="24"/>
          <w:lang w:val="en" w:eastAsia="en-GB"/>
        </w:rPr>
        <w:t xml:space="preserve">available </w:t>
      </w:r>
      <w:r w:rsidR="009058C8" w:rsidRPr="00C83063">
        <w:rPr>
          <w:rFonts w:ascii="Arial" w:hAnsi="Arial" w:cs="Arial"/>
          <w:sz w:val="24"/>
          <w:szCs w:val="24"/>
          <w:lang w:val="en" w:eastAsia="en-GB"/>
        </w:rPr>
        <w:t xml:space="preserve">for </w:t>
      </w:r>
      <w:r w:rsidR="00FE67B0">
        <w:rPr>
          <w:rFonts w:ascii="Arial" w:hAnsi="Arial" w:cs="Arial"/>
          <w:sz w:val="24"/>
          <w:szCs w:val="24"/>
          <w:lang w:val="en" w:eastAsia="en-GB"/>
        </w:rPr>
        <w:t xml:space="preserve">our </w:t>
      </w:r>
      <w:r w:rsidR="00F64A3A" w:rsidRPr="005D2D74">
        <w:rPr>
          <w:rFonts w:ascii="Arial" w:hAnsi="Arial" w:cs="Arial"/>
          <w:sz w:val="24"/>
          <w:szCs w:val="24"/>
          <w:lang w:val="en" w:eastAsia="en-GB"/>
        </w:rPr>
        <w:t xml:space="preserve">spending </w:t>
      </w:r>
      <w:r w:rsidR="00DB3135" w:rsidRPr="005D2D74">
        <w:rPr>
          <w:rFonts w:ascii="Arial" w:hAnsi="Arial" w:cs="Arial"/>
          <w:sz w:val="24"/>
          <w:szCs w:val="24"/>
          <w:lang w:val="en" w:eastAsia="en-GB"/>
        </w:rPr>
        <w:t>plans</w:t>
      </w:r>
      <w:r w:rsidR="00FE67B0">
        <w:rPr>
          <w:rFonts w:ascii="Arial" w:hAnsi="Arial" w:cs="Arial"/>
          <w:sz w:val="24"/>
          <w:szCs w:val="24"/>
          <w:lang w:val="en" w:eastAsia="en-GB"/>
        </w:rPr>
        <w:t>, which are</w:t>
      </w:r>
      <w:r w:rsidR="00DB3135" w:rsidRPr="005D2D74">
        <w:rPr>
          <w:rFonts w:ascii="Arial" w:hAnsi="Arial" w:cs="Arial"/>
          <w:sz w:val="24"/>
          <w:szCs w:val="24"/>
          <w:lang w:val="en" w:eastAsia="en-GB"/>
        </w:rPr>
        <w:t xml:space="preserve"> </w:t>
      </w:r>
      <w:r w:rsidR="00F64A3A" w:rsidRPr="005D2D74">
        <w:rPr>
          <w:rFonts w:ascii="Arial" w:hAnsi="Arial" w:cs="Arial"/>
          <w:sz w:val="24"/>
          <w:szCs w:val="24"/>
          <w:lang w:val="en" w:eastAsia="en-GB"/>
        </w:rPr>
        <w:t xml:space="preserve">set out in the </w:t>
      </w:r>
      <w:r w:rsidR="009B435C" w:rsidRPr="005D2D74">
        <w:rPr>
          <w:rFonts w:ascii="Arial" w:hAnsi="Arial" w:cs="Arial"/>
          <w:sz w:val="24"/>
          <w:szCs w:val="24"/>
          <w:lang w:val="en" w:eastAsia="en-GB"/>
        </w:rPr>
        <w:t>D</w:t>
      </w:r>
      <w:r w:rsidR="00F64A3A" w:rsidRPr="005D2D74">
        <w:rPr>
          <w:rFonts w:ascii="Arial" w:hAnsi="Arial" w:cs="Arial"/>
          <w:sz w:val="24"/>
          <w:szCs w:val="24"/>
          <w:lang w:val="en" w:eastAsia="en-GB"/>
        </w:rPr>
        <w:t>raft Budget</w:t>
      </w:r>
      <w:r w:rsidR="00FE67B0">
        <w:rPr>
          <w:rFonts w:ascii="Arial" w:hAnsi="Arial" w:cs="Arial"/>
          <w:sz w:val="24"/>
          <w:szCs w:val="24"/>
          <w:lang w:val="en" w:eastAsia="en-GB"/>
        </w:rPr>
        <w:t xml:space="preserve"> </w:t>
      </w:r>
      <w:r w:rsidR="00F64A3A" w:rsidRPr="005D2D74">
        <w:rPr>
          <w:rFonts w:ascii="Arial" w:hAnsi="Arial" w:cs="Arial"/>
          <w:sz w:val="24"/>
          <w:szCs w:val="24"/>
          <w:lang w:val="en" w:eastAsia="en-GB"/>
        </w:rPr>
        <w:t>today</w:t>
      </w:r>
      <w:r w:rsidR="00F50852" w:rsidRPr="005D2D74">
        <w:rPr>
          <w:rFonts w:ascii="Arial" w:hAnsi="Arial" w:cs="Arial"/>
          <w:sz w:val="24"/>
          <w:szCs w:val="24"/>
          <w:lang w:val="en" w:eastAsia="en-GB"/>
        </w:rPr>
        <w:t xml:space="preserve"> </w:t>
      </w:r>
      <w:r w:rsidR="009058C8" w:rsidRPr="005D2D74">
        <w:rPr>
          <w:rFonts w:ascii="Arial" w:hAnsi="Arial" w:cs="Arial"/>
          <w:sz w:val="24"/>
          <w:szCs w:val="24"/>
          <w:lang w:val="en" w:eastAsia="en-GB"/>
        </w:rPr>
        <w:t xml:space="preserve">as well as </w:t>
      </w:r>
      <w:r w:rsidR="00DB63D5" w:rsidRPr="005D2D74">
        <w:rPr>
          <w:rFonts w:ascii="Arial" w:hAnsi="Arial" w:cs="Arial"/>
          <w:sz w:val="24"/>
          <w:szCs w:val="24"/>
          <w:lang w:val="en" w:eastAsia="en-GB"/>
        </w:rPr>
        <w:t>providing an important lever for</w:t>
      </w:r>
      <w:r w:rsidR="00DB3135" w:rsidRPr="005D2D74">
        <w:rPr>
          <w:rFonts w:ascii="Arial" w:hAnsi="Arial" w:cs="Arial"/>
          <w:sz w:val="24"/>
          <w:szCs w:val="24"/>
          <w:lang w:val="en" w:eastAsia="en-GB"/>
        </w:rPr>
        <w:t xml:space="preserve"> some of our policy priorities</w:t>
      </w:r>
      <w:r w:rsidR="00990955" w:rsidRPr="005D2D74">
        <w:rPr>
          <w:rFonts w:ascii="Arial" w:hAnsi="Arial" w:cs="Arial"/>
          <w:sz w:val="24"/>
          <w:szCs w:val="24"/>
          <w:lang w:val="en" w:eastAsia="en-GB"/>
        </w:rPr>
        <w:t xml:space="preserve">. </w:t>
      </w:r>
    </w:p>
    <w:p w14:paraId="5898FB9F" w14:textId="77777777" w:rsidR="003F31A3" w:rsidRDefault="003F31A3" w:rsidP="003F31A3">
      <w:pPr>
        <w:rPr>
          <w:rFonts w:ascii="Arial" w:hAnsi="Arial" w:cs="Arial"/>
          <w:sz w:val="24"/>
          <w:szCs w:val="24"/>
          <w:lang w:val="en" w:eastAsia="en-GB"/>
        </w:rPr>
      </w:pPr>
    </w:p>
    <w:p w14:paraId="0DD7B57B" w14:textId="6A99E16D" w:rsidR="00864E5B" w:rsidRDefault="00E453DC" w:rsidP="003F31A3">
      <w:pPr>
        <w:rPr>
          <w:rFonts w:ascii="Arial" w:hAnsi="Arial" w:cs="Arial"/>
          <w:sz w:val="24"/>
          <w:szCs w:val="24"/>
          <w:lang w:val="en" w:eastAsia="en-GB"/>
        </w:rPr>
      </w:pPr>
      <w:r w:rsidRPr="005D2D74">
        <w:rPr>
          <w:rFonts w:ascii="Arial" w:hAnsi="Arial" w:cs="Arial"/>
          <w:sz w:val="24"/>
          <w:szCs w:val="24"/>
          <w:lang w:val="en" w:eastAsia="en-GB"/>
        </w:rPr>
        <w:t>Taken together, Welsh Rates of Income Tax</w:t>
      </w:r>
      <w:r w:rsidR="00FE67B0">
        <w:rPr>
          <w:rFonts w:ascii="Arial" w:hAnsi="Arial" w:cs="Arial"/>
          <w:sz w:val="24"/>
          <w:szCs w:val="24"/>
          <w:lang w:val="en" w:eastAsia="en-GB"/>
        </w:rPr>
        <w:t xml:space="preserve"> (WRIT)</w:t>
      </w:r>
      <w:r w:rsidRPr="005D2D74">
        <w:rPr>
          <w:rFonts w:ascii="Arial" w:hAnsi="Arial" w:cs="Arial"/>
          <w:sz w:val="24"/>
          <w:szCs w:val="24"/>
          <w:lang w:val="en" w:eastAsia="en-GB"/>
        </w:rPr>
        <w:t>, Landfill Disposal</w:t>
      </w:r>
      <w:r w:rsidR="006C3822" w:rsidRPr="005D2D74">
        <w:rPr>
          <w:rFonts w:ascii="Arial" w:hAnsi="Arial" w:cs="Arial"/>
          <w:sz w:val="24"/>
          <w:szCs w:val="24"/>
          <w:lang w:val="en" w:eastAsia="en-GB"/>
        </w:rPr>
        <w:t>s</w:t>
      </w:r>
      <w:r w:rsidRPr="005D2D74">
        <w:rPr>
          <w:rFonts w:ascii="Arial" w:hAnsi="Arial" w:cs="Arial"/>
          <w:sz w:val="24"/>
          <w:szCs w:val="24"/>
          <w:lang w:val="en" w:eastAsia="en-GB"/>
        </w:rPr>
        <w:t xml:space="preserve"> Tax</w:t>
      </w:r>
      <w:r w:rsidR="00FE67B0">
        <w:rPr>
          <w:rFonts w:ascii="Arial" w:hAnsi="Arial" w:cs="Arial"/>
          <w:sz w:val="24"/>
          <w:szCs w:val="24"/>
          <w:lang w:val="en" w:eastAsia="en-GB"/>
        </w:rPr>
        <w:t xml:space="preserve"> (LDT)</w:t>
      </w:r>
      <w:r w:rsidRPr="005D2D74">
        <w:rPr>
          <w:rFonts w:ascii="Arial" w:hAnsi="Arial" w:cs="Arial"/>
          <w:sz w:val="24"/>
          <w:szCs w:val="24"/>
          <w:lang w:val="en" w:eastAsia="en-GB"/>
        </w:rPr>
        <w:t xml:space="preserve"> and Land Transaction Tax</w:t>
      </w:r>
      <w:r w:rsidR="00FE67B0">
        <w:rPr>
          <w:rFonts w:ascii="Arial" w:hAnsi="Arial" w:cs="Arial"/>
          <w:sz w:val="24"/>
          <w:szCs w:val="24"/>
          <w:lang w:val="en" w:eastAsia="en-GB"/>
        </w:rPr>
        <w:t xml:space="preserve"> (LTT)</w:t>
      </w:r>
      <w:r w:rsidRPr="005D2D74">
        <w:rPr>
          <w:rFonts w:ascii="Arial" w:hAnsi="Arial" w:cs="Arial"/>
          <w:sz w:val="24"/>
          <w:szCs w:val="24"/>
          <w:lang w:val="en" w:eastAsia="en-GB"/>
        </w:rPr>
        <w:t xml:space="preserve"> will contribute around £</w:t>
      </w:r>
      <w:r w:rsidR="00EB309E" w:rsidRPr="005D2D74">
        <w:rPr>
          <w:rFonts w:ascii="Arial" w:hAnsi="Arial" w:cs="Arial"/>
          <w:sz w:val="24"/>
          <w:szCs w:val="24"/>
          <w:lang w:val="en" w:eastAsia="en-GB"/>
        </w:rPr>
        <w:t>4</w:t>
      </w:r>
      <w:r w:rsidR="00FE67B0">
        <w:rPr>
          <w:rFonts w:ascii="Arial" w:hAnsi="Arial" w:cs="Arial"/>
          <w:sz w:val="24"/>
          <w:szCs w:val="24"/>
          <w:lang w:val="en" w:eastAsia="en-GB"/>
        </w:rPr>
        <w:t>bn</w:t>
      </w:r>
      <w:r w:rsidRPr="005D2D74">
        <w:rPr>
          <w:rFonts w:ascii="Arial" w:hAnsi="Arial" w:cs="Arial"/>
          <w:sz w:val="24"/>
          <w:szCs w:val="24"/>
          <w:lang w:val="en" w:eastAsia="en-GB"/>
        </w:rPr>
        <w:t xml:space="preserve"> to the Welsh Budget in 202</w:t>
      </w:r>
      <w:r w:rsidR="00EB309E" w:rsidRPr="005D2D74">
        <w:rPr>
          <w:rFonts w:ascii="Arial" w:hAnsi="Arial" w:cs="Arial"/>
          <w:sz w:val="24"/>
          <w:szCs w:val="24"/>
          <w:lang w:val="en" w:eastAsia="en-GB"/>
        </w:rPr>
        <w:t>5</w:t>
      </w:r>
      <w:r w:rsidRPr="005D2D74">
        <w:rPr>
          <w:rFonts w:ascii="Arial" w:hAnsi="Arial" w:cs="Arial"/>
          <w:sz w:val="24"/>
          <w:szCs w:val="24"/>
          <w:lang w:val="en" w:eastAsia="en-GB"/>
        </w:rPr>
        <w:t>-2</w:t>
      </w:r>
      <w:r w:rsidR="00EB309E" w:rsidRPr="005D2D74">
        <w:rPr>
          <w:rFonts w:ascii="Arial" w:hAnsi="Arial" w:cs="Arial"/>
          <w:sz w:val="24"/>
          <w:szCs w:val="24"/>
          <w:lang w:val="en" w:eastAsia="en-GB"/>
        </w:rPr>
        <w:t>6</w:t>
      </w:r>
      <w:r w:rsidRPr="005D2D74">
        <w:rPr>
          <w:rFonts w:ascii="Arial" w:hAnsi="Arial" w:cs="Arial"/>
          <w:sz w:val="24"/>
          <w:szCs w:val="24"/>
          <w:lang w:val="en" w:eastAsia="en-GB"/>
        </w:rPr>
        <w:t>.</w:t>
      </w:r>
    </w:p>
    <w:p w14:paraId="062A4A54" w14:textId="5C1D4B1C" w:rsidR="00FE67B0" w:rsidRDefault="00FE67B0" w:rsidP="003F31A3">
      <w:pPr>
        <w:rPr>
          <w:rFonts w:ascii="Arial" w:hAnsi="Arial" w:cs="Arial"/>
          <w:sz w:val="24"/>
          <w:szCs w:val="24"/>
          <w:lang w:val="en" w:eastAsia="en-GB"/>
        </w:rPr>
      </w:pPr>
      <w:r w:rsidRPr="0039475F">
        <w:rPr>
          <w:rFonts w:ascii="Arial" w:hAnsi="Arial" w:cs="Arial"/>
          <w:sz w:val="24"/>
          <w:szCs w:val="24"/>
          <w:lang w:val="en" w:eastAsia="en-GB"/>
        </w:rPr>
        <w:t xml:space="preserve">This statement outlines the key decisions </w:t>
      </w:r>
      <w:r>
        <w:rPr>
          <w:rFonts w:ascii="Arial" w:hAnsi="Arial" w:cs="Arial"/>
          <w:sz w:val="24"/>
          <w:szCs w:val="24"/>
          <w:lang w:val="en" w:eastAsia="en-GB"/>
        </w:rPr>
        <w:t>we are proposing in relation to</w:t>
      </w:r>
      <w:r w:rsidRPr="0039475F">
        <w:rPr>
          <w:rFonts w:ascii="Arial" w:hAnsi="Arial" w:cs="Arial"/>
          <w:sz w:val="24"/>
          <w:szCs w:val="24"/>
          <w:lang w:val="en" w:eastAsia="en-GB"/>
        </w:rPr>
        <w:t xml:space="preserve"> Welsh taxes.</w:t>
      </w:r>
    </w:p>
    <w:p w14:paraId="31991A36" w14:textId="77777777" w:rsidR="003F31A3" w:rsidRPr="005D2D74" w:rsidRDefault="003F31A3" w:rsidP="003F31A3">
      <w:pPr>
        <w:rPr>
          <w:rFonts w:ascii="Arial" w:hAnsi="Arial" w:cs="Arial"/>
          <w:sz w:val="24"/>
          <w:szCs w:val="24"/>
          <w:lang w:val="en" w:eastAsia="en-GB"/>
        </w:rPr>
      </w:pPr>
    </w:p>
    <w:p w14:paraId="42D929A7" w14:textId="77777777" w:rsidR="003A7892" w:rsidRDefault="003A7892" w:rsidP="003F31A3">
      <w:pPr>
        <w:rPr>
          <w:rFonts w:ascii="Arial" w:hAnsi="Arial" w:cs="Arial"/>
          <w:b/>
          <w:bCs/>
          <w:sz w:val="24"/>
          <w:szCs w:val="24"/>
          <w:u w:val="single"/>
          <w:lang w:val="en" w:eastAsia="en-GB"/>
        </w:rPr>
      </w:pPr>
      <w:r w:rsidRPr="005D2D74">
        <w:rPr>
          <w:rFonts w:ascii="Arial" w:hAnsi="Arial" w:cs="Arial"/>
          <w:b/>
          <w:bCs/>
          <w:sz w:val="24"/>
          <w:szCs w:val="24"/>
          <w:u w:val="single"/>
          <w:lang w:val="en" w:eastAsia="en-GB"/>
        </w:rPr>
        <w:t>Welsh Rates of Income Tax</w:t>
      </w:r>
    </w:p>
    <w:p w14:paraId="6A4C6F2D" w14:textId="77777777" w:rsidR="003F31A3" w:rsidRPr="005D2D74" w:rsidRDefault="003F31A3" w:rsidP="003F31A3">
      <w:pPr>
        <w:rPr>
          <w:rFonts w:ascii="Arial" w:hAnsi="Arial" w:cs="Arial"/>
          <w:b/>
          <w:bCs/>
          <w:sz w:val="24"/>
          <w:szCs w:val="24"/>
          <w:u w:val="single"/>
          <w:lang w:val="en" w:eastAsia="en-GB"/>
        </w:rPr>
      </w:pPr>
    </w:p>
    <w:p w14:paraId="7A9D8B74" w14:textId="172E2BC9" w:rsidR="00F64A3A" w:rsidRDefault="00F64A3A" w:rsidP="003F31A3">
      <w:pPr>
        <w:rPr>
          <w:rFonts w:ascii="Arial" w:hAnsi="Arial" w:cs="Arial"/>
          <w:sz w:val="24"/>
          <w:szCs w:val="24"/>
          <w:lang w:val="en" w:eastAsia="en-GB"/>
        </w:rPr>
      </w:pPr>
      <w:r w:rsidRPr="005D2D74">
        <w:rPr>
          <w:rFonts w:ascii="Arial" w:hAnsi="Arial" w:cs="Arial"/>
          <w:sz w:val="24"/>
          <w:szCs w:val="24"/>
          <w:lang w:val="en" w:eastAsia="en-GB"/>
        </w:rPr>
        <w:t>I propose</w:t>
      </w:r>
      <w:r w:rsidR="00A52275" w:rsidRPr="005D2D74">
        <w:rPr>
          <w:rFonts w:ascii="Arial" w:hAnsi="Arial" w:cs="Arial"/>
          <w:sz w:val="24"/>
          <w:szCs w:val="24"/>
          <w:lang w:val="en" w:eastAsia="en-GB"/>
        </w:rPr>
        <w:t xml:space="preserve"> to set</w:t>
      </w:r>
      <w:r w:rsidRPr="005D2D74">
        <w:rPr>
          <w:rFonts w:ascii="Arial" w:hAnsi="Arial" w:cs="Arial"/>
          <w:sz w:val="24"/>
          <w:szCs w:val="24"/>
          <w:lang w:val="en" w:eastAsia="en-GB"/>
        </w:rPr>
        <w:t xml:space="preserve"> the Welsh rates of income tax for 202</w:t>
      </w:r>
      <w:r w:rsidR="00EB309E" w:rsidRPr="005D2D74">
        <w:rPr>
          <w:rFonts w:ascii="Arial" w:hAnsi="Arial" w:cs="Arial"/>
          <w:sz w:val="24"/>
          <w:szCs w:val="24"/>
          <w:lang w:val="en" w:eastAsia="en-GB"/>
        </w:rPr>
        <w:t>5</w:t>
      </w:r>
      <w:r w:rsidRPr="005D2D74">
        <w:rPr>
          <w:rFonts w:ascii="Arial" w:hAnsi="Arial" w:cs="Arial"/>
          <w:sz w:val="24"/>
          <w:szCs w:val="24"/>
          <w:lang w:val="en" w:eastAsia="en-GB"/>
        </w:rPr>
        <w:t>-2</w:t>
      </w:r>
      <w:r w:rsidR="00EB309E" w:rsidRPr="005D2D74">
        <w:rPr>
          <w:rFonts w:ascii="Arial" w:hAnsi="Arial" w:cs="Arial"/>
          <w:sz w:val="24"/>
          <w:szCs w:val="24"/>
          <w:lang w:val="en" w:eastAsia="en-GB"/>
        </w:rPr>
        <w:t>6</w:t>
      </w:r>
      <w:r w:rsidRPr="005D2D74">
        <w:rPr>
          <w:rFonts w:ascii="Arial" w:hAnsi="Arial" w:cs="Arial"/>
          <w:sz w:val="24"/>
          <w:szCs w:val="24"/>
          <w:lang w:val="en" w:eastAsia="en-GB"/>
        </w:rPr>
        <w:t xml:space="preserve"> at 10p for the three income tax rates (basic, higher and additional), which will </w:t>
      </w:r>
      <w:r w:rsidR="00B62B6F" w:rsidRPr="005D2D74">
        <w:rPr>
          <w:rFonts w:ascii="Arial" w:hAnsi="Arial" w:cs="Arial"/>
          <w:sz w:val="24"/>
          <w:szCs w:val="24"/>
          <w:lang w:val="en" w:eastAsia="en-GB"/>
        </w:rPr>
        <w:t xml:space="preserve">maintain </w:t>
      </w:r>
      <w:r w:rsidRPr="005D2D74">
        <w:rPr>
          <w:rFonts w:ascii="Arial" w:hAnsi="Arial" w:cs="Arial"/>
          <w:sz w:val="24"/>
          <w:szCs w:val="24"/>
          <w:lang w:val="en" w:eastAsia="en-GB"/>
        </w:rPr>
        <w:t xml:space="preserve">parity of income tax rates </w:t>
      </w:r>
      <w:r w:rsidR="00B62B6F" w:rsidRPr="005D2D74">
        <w:rPr>
          <w:rFonts w:ascii="Arial" w:hAnsi="Arial" w:cs="Arial"/>
          <w:sz w:val="24"/>
          <w:szCs w:val="24"/>
          <w:lang w:val="en" w:eastAsia="en-GB"/>
        </w:rPr>
        <w:t xml:space="preserve">for taxpayers </w:t>
      </w:r>
      <w:r w:rsidRPr="005D2D74">
        <w:rPr>
          <w:rFonts w:ascii="Arial" w:hAnsi="Arial" w:cs="Arial"/>
          <w:sz w:val="24"/>
          <w:szCs w:val="24"/>
          <w:lang w:val="en" w:eastAsia="en-GB"/>
        </w:rPr>
        <w:t xml:space="preserve">in Wales with </w:t>
      </w:r>
      <w:r w:rsidR="00B62B6F" w:rsidRPr="005D2D74">
        <w:rPr>
          <w:rFonts w:ascii="Arial" w:hAnsi="Arial" w:cs="Arial"/>
          <w:sz w:val="24"/>
          <w:szCs w:val="24"/>
          <w:lang w:val="en" w:eastAsia="en-GB"/>
        </w:rPr>
        <w:t>those</w:t>
      </w:r>
      <w:r w:rsidR="00E94703" w:rsidRPr="005D2D74">
        <w:rPr>
          <w:rFonts w:ascii="Arial" w:hAnsi="Arial" w:cs="Arial"/>
          <w:sz w:val="24"/>
          <w:szCs w:val="24"/>
          <w:lang w:val="en" w:eastAsia="en-GB"/>
        </w:rPr>
        <w:t xml:space="preserve"> in England and Northern Ireland</w:t>
      </w:r>
      <w:r w:rsidR="00A52275" w:rsidRPr="005D2D74">
        <w:rPr>
          <w:rFonts w:ascii="Arial" w:hAnsi="Arial" w:cs="Arial"/>
          <w:sz w:val="24"/>
          <w:szCs w:val="24"/>
          <w:lang w:val="en" w:eastAsia="en-GB"/>
        </w:rPr>
        <w:t xml:space="preserve">. </w:t>
      </w:r>
      <w:r w:rsidR="00FE67B0">
        <w:rPr>
          <w:rFonts w:ascii="Arial" w:hAnsi="Arial" w:cs="Arial"/>
          <w:sz w:val="24"/>
          <w:szCs w:val="24"/>
          <w:lang w:val="en" w:eastAsia="en-GB"/>
        </w:rPr>
        <w:t>This means there will be no changes to WRIT in 2025-26.</w:t>
      </w:r>
    </w:p>
    <w:p w14:paraId="13F3E5D9" w14:textId="77777777" w:rsidR="003F31A3" w:rsidRPr="00C83063" w:rsidRDefault="003F31A3" w:rsidP="003F31A3">
      <w:pPr>
        <w:rPr>
          <w:rFonts w:ascii="Arial" w:hAnsi="Arial" w:cs="Arial"/>
          <w:sz w:val="24"/>
          <w:szCs w:val="24"/>
          <w:lang w:val="en" w:eastAsia="en-GB"/>
        </w:rPr>
      </w:pPr>
    </w:p>
    <w:p w14:paraId="025E055C" w14:textId="5C497931" w:rsidR="00443EA6" w:rsidRPr="005D2D74" w:rsidRDefault="00443EA6" w:rsidP="003F31A3">
      <w:pPr>
        <w:autoSpaceDE w:val="0"/>
        <w:autoSpaceDN w:val="0"/>
        <w:adjustRightInd w:val="0"/>
        <w:rPr>
          <w:rFonts w:ascii="Arial" w:hAnsi="Arial" w:cs="Arial"/>
          <w:color w:val="000000" w:themeColor="text1"/>
          <w:sz w:val="24"/>
          <w:szCs w:val="24"/>
        </w:rPr>
      </w:pPr>
      <w:r w:rsidRPr="00C83063">
        <w:rPr>
          <w:rFonts w:ascii="Arial" w:hAnsi="Arial" w:cs="Arial"/>
          <w:color w:val="000000" w:themeColor="text1"/>
          <w:sz w:val="24"/>
          <w:szCs w:val="24"/>
        </w:rPr>
        <w:t xml:space="preserve">Alongside this </w:t>
      </w:r>
      <w:r w:rsidR="009B435C" w:rsidRPr="00C83063">
        <w:rPr>
          <w:rFonts w:ascii="Arial" w:hAnsi="Arial" w:cs="Arial"/>
          <w:color w:val="000000" w:themeColor="text1"/>
          <w:sz w:val="24"/>
          <w:szCs w:val="24"/>
        </w:rPr>
        <w:t>D</w:t>
      </w:r>
      <w:r w:rsidRPr="00C83063">
        <w:rPr>
          <w:rFonts w:ascii="Arial" w:hAnsi="Arial" w:cs="Arial"/>
          <w:color w:val="000000" w:themeColor="text1"/>
          <w:sz w:val="24"/>
          <w:szCs w:val="24"/>
        </w:rPr>
        <w:t xml:space="preserve">raft Budget, I am publishing an updated </w:t>
      </w:r>
      <w:hyperlink r:id="rId12" w:history="1">
        <w:r w:rsidRPr="009614FA">
          <w:rPr>
            <w:rStyle w:val="Hyperlink"/>
            <w:rFonts w:ascii="Arial" w:hAnsi="Arial" w:cs="Arial"/>
            <w:sz w:val="24"/>
            <w:szCs w:val="24"/>
          </w:rPr>
          <w:t>Ready Reckoner for the Welsh Rates of Income Tax</w:t>
        </w:r>
      </w:hyperlink>
      <w:r w:rsidRPr="005D2D74">
        <w:rPr>
          <w:rFonts w:ascii="Arial" w:hAnsi="Arial" w:cs="Arial"/>
          <w:color w:val="000000" w:themeColor="text1"/>
          <w:sz w:val="24"/>
          <w:szCs w:val="24"/>
        </w:rPr>
        <w:t xml:space="preserve">. This provides estimates of the potential revenue impact from changes to each of the three Welsh Rates.  </w:t>
      </w:r>
    </w:p>
    <w:p w14:paraId="0E2BCD9B" w14:textId="77777777" w:rsidR="00FE67B0" w:rsidRPr="00C83063" w:rsidRDefault="00FE67B0" w:rsidP="003F31A3">
      <w:pPr>
        <w:rPr>
          <w:rFonts w:ascii="Arial" w:hAnsi="Arial" w:cs="Arial"/>
          <w:sz w:val="24"/>
          <w:szCs w:val="24"/>
          <w:u w:val="single"/>
          <w:lang w:val="en" w:eastAsia="en-GB"/>
        </w:rPr>
      </w:pPr>
    </w:p>
    <w:p w14:paraId="3E528EBB" w14:textId="24CD47CE" w:rsidR="00864E5B" w:rsidRDefault="00864E5B" w:rsidP="003F31A3">
      <w:pPr>
        <w:rPr>
          <w:rFonts w:ascii="Arial" w:hAnsi="Arial" w:cs="Arial"/>
          <w:b/>
          <w:bCs/>
          <w:sz w:val="24"/>
          <w:szCs w:val="24"/>
          <w:u w:val="single"/>
          <w:lang w:val="en" w:eastAsia="en-GB"/>
        </w:rPr>
      </w:pPr>
      <w:r w:rsidRPr="005D2D74">
        <w:rPr>
          <w:rFonts w:ascii="Arial" w:hAnsi="Arial" w:cs="Arial"/>
          <w:b/>
          <w:bCs/>
          <w:sz w:val="24"/>
          <w:szCs w:val="24"/>
          <w:u w:val="single"/>
          <w:lang w:val="en" w:eastAsia="en-GB"/>
        </w:rPr>
        <w:t>Land Transaction Tax</w:t>
      </w:r>
    </w:p>
    <w:p w14:paraId="45FE5207" w14:textId="77777777" w:rsidR="003F31A3" w:rsidRPr="005D2D74" w:rsidRDefault="003F31A3" w:rsidP="003F31A3">
      <w:pPr>
        <w:rPr>
          <w:rFonts w:ascii="Arial" w:hAnsi="Arial" w:cs="Arial"/>
          <w:b/>
          <w:bCs/>
          <w:sz w:val="24"/>
          <w:szCs w:val="24"/>
          <w:u w:val="single"/>
          <w:lang w:val="en" w:eastAsia="en-GB"/>
        </w:rPr>
      </w:pPr>
    </w:p>
    <w:p w14:paraId="762B43EC" w14:textId="78D02791" w:rsidR="00D03B3E" w:rsidRDefault="00FE67B0" w:rsidP="003F31A3">
      <w:pPr>
        <w:rPr>
          <w:rFonts w:ascii="Arial" w:hAnsi="Arial" w:cs="Arial"/>
          <w:sz w:val="24"/>
          <w:szCs w:val="24"/>
          <w:lang w:val="en" w:eastAsia="en-GB"/>
        </w:rPr>
      </w:pPr>
      <w:r>
        <w:rPr>
          <w:rFonts w:ascii="Arial" w:hAnsi="Arial" w:cs="Arial"/>
          <w:sz w:val="24"/>
          <w:szCs w:val="24"/>
          <w:lang w:val="en" w:eastAsia="en-GB"/>
        </w:rPr>
        <w:t>The</w:t>
      </w:r>
      <w:r w:rsidR="00B40AB1" w:rsidRPr="005D2D74">
        <w:rPr>
          <w:rFonts w:ascii="Arial" w:hAnsi="Arial" w:cs="Arial"/>
          <w:sz w:val="24"/>
          <w:szCs w:val="24"/>
          <w:lang w:val="en" w:eastAsia="en-GB"/>
        </w:rPr>
        <w:t xml:space="preserve"> higher </w:t>
      </w:r>
      <w:r w:rsidR="0020525E" w:rsidRPr="005D2D74">
        <w:rPr>
          <w:rFonts w:ascii="Arial" w:hAnsi="Arial" w:cs="Arial"/>
          <w:sz w:val="24"/>
          <w:szCs w:val="24"/>
          <w:lang w:val="en" w:eastAsia="en-GB"/>
        </w:rPr>
        <w:t xml:space="preserve">residential </w:t>
      </w:r>
      <w:r w:rsidR="00B40AB1" w:rsidRPr="005D2D74">
        <w:rPr>
          <w:rFonts w:ascii="Arial" w:hAnsi="Arial" w:cs="Arial"/>
          <w:sz w:val="24"/>
          <w:szCs w:val="24"/>
          <w:lang w:val="en" w:eastAsia="en-GB"/>
        </w:rPr>
        <w:t>rate</w:t>
      </w:r>
      <w:r w:rsidR="0020525E" w:rsidRPr="005D2D74">
        <w:rPr>
          <w:rFonts w:ascii="Arial" w:hAnsi="Arial" w:cs="Arial"/>
          <w:sz w:val="24"/>
          <w:szCs w:val="24"/>
          <w:lang w:val="en" w:eastAsia="en-GB"/>
        </w:rPr>
        <w:t>s</w:t>
      </w:r>
      <w:r w:rsidR="00B40AB1" w:rsidRPr="005D2D74">
        <w:rPr>
          <w:rFonts w:ascii="Arial" w:hAnsi="Arial" w:cs="Arial"/>
          <w:sz w:val="24"/>
          <w:szCs w:val="24"/>
          <w:lang w:val="en" w:eastAsia="en-GB"/>
        </w:rPr>
        <w:t xml:space="preserve"> of </w:t>
      </w:r>
      <w:r w:rsidR="00DE601E" w:rsidRPr="005D2D74">
        <w:rPr>
          <w:rFonts w:ascii="Arial" w:hAnsi="Arial" w:cs="Arial"/>
          <w:sz w:val="24"/>
          <w:szCs w:val="24"/>
          <w:lang w:val="en" w:eastAsia="en-GB"/>
        </w:rPr>
        <w:t>L</w:t>
      </w:r>
      <w:r w:rsidR="00C945DC" w:rsidRPr="005D2D74">
        <w:rPr>
          <w:rFonts w:ascii="Arial" w:hAnsi="Arial" w:cs="Arial"/>
          <w:sz w:val="24"/>
          <w:szCs w:val="24"/>
          <w:lang w:val="en" w:eastAsia="en-GB"/>
        </w:rPr>
        <w:t xml:space="preserve">and </w:t>
      </w:r>
      <w:r w:rsidR="00DE601E" w:rsidRPr="005D2D74">
        <w:rPr>
          <w:rFonts w:ascii="Arial" w:hAnsi="Arial" w:cs="Arial"/>
          <w:sz w:val="24"/>
          <w:szCs w:val="24"/>
          <w:lang w:val="en" w:eastAsia="en-GB"/>
        </w:rPr>
        <w:t>T</w:t>
      </w:r>
      <w:r w:rsidR="00C945DC" w:rsidRPr="005D2D74">
        <w:rPr>
          <w:rFonts w:ascii="Arial" w:hAnsi="Arial" w:cs="Arial"/>
          <w:sz w:val="24"/>
          <w:szCs w:val="24"/>
          <w:lang w:val="en" w:eastAsia="en-GB"/>
        </w:rPr>
        <w:t xml:space="preserve">ransaction </w:t>
      </w:r>
      <w:r w:rsidR="00DE601E" w:rsidRPr="005D2D74">
        <w:rPr>
          <w:rFonts w:ascii="Arial" w:hAnsi="Arial" w:cs="Arial"/>
          <w:sz w:val="24"/>
          <w:szCs w:val="24"/>
          <w:lang w:val="en" w:eastAsia="en-GB"/>
        </w:rPr>
        <w:t>T</w:t>
      </w:r>
      <w:r w:rsidR="00C945DC" w:rsidRPr="005D2D74">
        <w:rPr>
          <w:rFonts w:ascii="Arial" w:hAnsi="Arial" w:cs="Arial"/>
          <w:sz w:val="24"/>
          <w:szCs w:val="24"/>
          <w:lang w:val="en" w:eastAsia="en-GB"/>
        </w:rPr>
        <w:t>ax</w:t>
      </w:r>
      <w:r w:rsidR="0057240F" w:rsidRPr="005D2D74">
        <w:rPr>
          <w:rFonts w:ascii="Arial" w:hAnsi="Arial" w:cs="Arial"/>
          <w:sz w:val="24"/>
          <w:szCs w:val="24"/>
          <w:lang w:val="en" w:eastAsia="en-GB"/>
        </w:rPr>
        <w:t xml:space="preserve"> (LTT)</w:t>
      </w:r>
      <w:r w:rsidR="00DE601E" w:rsidRPr="005D2D74">
        <w:rPr>
          <w:rFonts w:ascii="Arial" w:hAnsi="Arial" w:cs="Arial"/>
          <w:sz w:val="24"/>
          <w:szCs w:val="24"/>
          <w:lang w:val="en" w:eastAsia="en-GB"/>
        </w:rPr>
        <w:t xml:space="preserve"> </w:t>
      </w:r>
      <w:r w:rsidR="00A52275" w:rsidRPr="005D2D74">
        <w:rPr>
          <w:rFonts w:ascii="Arial" w:hAnsi="Arial" w:cs="Arial"/>
          <w:sz w:val="24"/>
          <w:szCs w:val="24"/>
          <w:lang w:val="en" w:eastAsia="en-GB"/>
        </w:rPr>
        <w:t xml:space="preserve">are </w:t>
      </w:r>
      <w:r w:rsidR="00DB3135" w:rsidRPr="005D2D74">
        <w:rPr>
          <w:rFonts w:ascii="Arial" w:hAnsi="Arial" w:cs="Arial"/>
          <w:sz w:val="24"/>
          <w:szCs w:val="24"/>
          <w:lang w:val="en" w:eastAsia="en-GB"/>
        </w:rPr>
        <w:t xml:space="preserve">increasing </w:t>
      </w:r>
      <w:r w:rsidR="00B40AB1" w:rsidRPr="005D2D74">
        <w:rPr>
          <w:rFonts w:ascii="Arial" w:hAnsi="Arial" w:cs="Arial"/>
          <w:sz w:val="24"/>
          <w:szCs w:val="24"/>
          <w:lang w:val="en" w:eastAsia="en-GB"/>
        </w:rPr>
        <w:t xml:space="preserve">by one percentage point across all </w:t>
      </w:r>
      <w:r w:rsidR="0020525E" w:rsidRPr="005D2D74">
        <w:rPr>
          <w:rFonts w:ascii="Arial" w:hAnsi="Arial" w:cs="Arial"/>
          <w:sz w:val="24"/>
          <w:szCs w:val="24"/>
          <w:lang w:val="en" w:eastAsia="en-GB"/>
        </w:rPr>
        <w:t xml:space="preserve">bands </w:t>
      </w:r>
      <w:r w:rsidR="003322E8" w:rsidRPr="005D2D74">
        <w:rPr>
          <w:rFonts w:ascii="Arial" w:hAnsi="Arial" w:cs="Arial"/>
          <w:sz w:val="24"/>
          <w:szCs w:val="24"/>
          <w:lang w:val="en" w:eastAsia="en-GB"/>
        </w:rPr>
        <w:t>in this Draft Budget.</w:t>
      </w:r>
      <w:r w:rsidR="0020525E" w:rsidRPr="005D2D74">
        <w:rPr>
          <w:rFonts w:ascii="Arial" w:hAnsi="Arial" w:cs="Arial"/>
          <w:sz w:val="24"/>
          <w:szCs w:val="24"/>
          <w:lang w:val="en" w:eastAsia="en-GB"/>
        </w:rPr>
        <w:t xml:space="preserve"> </w:t>
      </w:r>
      <w:r>
        <w:rPr>
          <w:rFonts w:ascii="Arial" w:hAnsi="Arial" w:cs="Arial"/>
          <w:sz w:val="24"/>
          <w:szCs w:val="24"/>
          <w:lang w:val="en" w:eastAsia="en-GB"/>
        </w:rPr>
        <w:t>T</w:t>
      </w:r>
      <w:r w:rsidR="0020525E" w:rsidRPr="005D2D74">
        <w:rPr>
          <w:rFonts w:ascii="Arial" w:hAnsi="Arial" w:cs="Arial"/>
          <w:sz w:val="24"/>
          <w:szCs w:val="24"/>
          <w:lang w:val="en" w:eastAsia="en-GB"/>
        </w:rPr>
        <w:t xml:space="preserve">hese changes will be made by regulations today and will come into force </w:t>
      </w:r>
      <w:r>
        <w:rPr>
          <w:rFonts w:ascii="Arial" w:hAnsi="Arial" w:cs="Arial"/>
          <w:sz w:val="24"/>
          <w:szCs w:val="24"/>
          <w:lang w:val="en" w:eastAsia="en-GB"/>
        </w:rPr>
        <w:t xml:space="preserve">on </w:t>
      </w:r>
      <w:r w:rsidR="005E7F28" w:rsidRPr="005D2D74">
        <w:rPr>
          <w:rFonts w:ascii="Arial" w:hAnsi="Arial" w:cs="Arial"/>
          <w:sz w:val="24"/>
          <w:szCs w:val="24"/>
          <w:lang w:eastAsia="en-GB"/>
        </w:rPr>
        <w:t>11 December</w:t>
      </w:r>
      <w:r w:rsidR="0020525E" w:rsidRPr="005D2D74">
        <w:rPr>
          <w:rFonts w:ascii="Arial" w:hAnsi="Arial" w:cs="Arial"/>
          <w:sz w:val="24"/>
          <w:szCs w:val="24"/>
          <w:lang w:val="en" w:eastAsia="en-GB"/>
        </w:rPr>
        <w:t xml:space="preserve">. </w:t>
      </w:r>
      <w:r w:rsidR="00D03B3E" w:rsidRPr="005D2D74">
        <w:rPr>
          <w:rFonts w:ascii="Arial" w:hAnsi="Arial" w:cs="Arial"/>
          <w:sz w:val="24"/>
          <w:szCs w:val="24"/>
          <w:lang w:val="en" w:eastAsia="en-GB"/>
        </w:rPr>
        <w:t>Those taxpayers who have already exchanged contracts will pay the former rates so long as they comply with the relevant transitional rules</w:t>
      </w:r>
      <w:r w:rsidR="00D11071" w:rsidRPr="005D2D74">
        <w:rPr>
          <w:rFonts w:ascii="Arial" w:hAnsi="Arial" w:cs="Arial"/>
          <w:sz w:val="24"/>
          <w:szCs w:val="24"/>
          <w:lang w:val="en" w:eastAsia="en-GB"/>
        </w:rPr>
        <w:t>.</w:t>
      </w:r>
    </w:p>
    <w:p w14:paraId="63AFBAD7" w14:textId="77777777" w:rsidR="003F31A3" w:rsidRPr="005D2D74" w:rsidRDefault="003F31A3" w:rsidP="003F31A3">
      <w:pPr>
        <w:rPr>
          <w:rFonts w:ascii="Arial" w:hAnsi="Arial" w:cs="Arial"/>
          <w:sz w:val="24"/>
          <w:szCs w:val="24"/>
          <w:lang w:val="en" w:eastAsia="en-GB"/>
        </w:rPr>
      </w:pPr>
    </w:p>
    <w:p w14:paraId="6D7D5EFB" w14:textId="7CD357C8" w:rsidR="00DE601E" w:rsidRDefault="005E7F28" w:rsidP="003F31A3">
      <w:pPr>
        <w:rPr>
          <w:rFonts w:ascii="Arial" w:hAnsi="Arial" w:cs="Arial"/>
          <w:sz w:val="24"/>
          <w:szCs w:val="24"/>
        </w:rPr>
      </w:pPr>
      <w:r w:rsidRPr="005D2D74">
        <w:rPr>
          <w:rFonts w:ascii="Arial" w:hAnsi="Arial" w:cs="Arial"/>
          <w:sz w:val="24"/>
          <w:szCs w:val="24"/>
          <w:lang w:eastAsia="en-GB"/>
        </w:rPr>
        <w:t xml:space="preserve">This change will result in the </w:t>
      </w:r>
      <w:r w:rsidR="00654D70" w:rsidRPr="005D2D74">
        <w:rPr>
          <w:rFonts w:ascii="Arial" w:hAnsi="Arial" w:cs="Arial"/>
          <w:sz w:val="24"/>
          <w:szCs w:val="24"/>
          <w:lang w:eastAsia="en-GB"/>
        </w:rPr>
        <w:t xml:space="preserve">higher </w:t>
      </w:r>
      <w:r w:rsidRPr="005D2D74">
        <w:rPr>
          <w:rFonts w:ascii="Arial" w:hAnsi="Arial" w:cs="Arial"/>
          <w:sz w:val="24"/>
          <w:szCs w:val="24"/>
          <w:lang w:eastAsia="en-GB"/>
        </w:rPr>
        <w:t xml:space="preserve">residential </w:t>
      </w:r>
      <w:r w:rsidR="00654D70" w:rsidRPr="005D2D74">
        <w:rPr>
          <w:rFonts w:ascii="Arial" w:hAnsi="Arial" w:cs="Arial"/>
          <w:sz w:val="24"/>
          <w:szCs w:val="24"/>
          <w:lang w:eastAsia="en-GB"/>
        </w:rPr>
        <w:t xml:space="preserve">rates of </w:t>
      </w:r>
      <w:r w:rsidRPr="005D2D74">
        <w:rPr>
          <w:rFonts w:ascii="Arial" w:hAnsi="Arial" w:cs="Arial"/>
          <w:sz w:val="24"/>
          <w:szCs w:val="24"/>
          <w:lang w:eastAsia="en-GB"/>
        </w:rPr>
        <w:t>LTT being set at</w:t>
      </w:r>
      <w:r w:rsidR="00497649" w:rsidRPr="005D2D74">
        <w:rPr>
          <w:rFonts w:ascii="Arial" w:hAnsi="Arial" w:cs="Arial"/>
          <w:sz w:val="24"/>
          <w:szCs w:val="24"/>
          <w:lang w:eastAsia="en-GB"/>
        </w:rPr>
        <w:t xml:space="preserve">, broadly, </w:t>
      </w:r>
      <w:r w:rsidR="00D101DE" w:rsidRPr="005D2D74">
        <w:rPr>
          <w:rFonts w:ascii="Arial" w:hAnsi="Arial" w:cs="Arial"/>
          <w:sz w:val="24"/>
          <w:szCs w:val="24"/>
          <w:lang w:eastAsia="en-GB"/>
        </w:rPr>
        <w:t xml:space="preserve">five </w:t>
      </w:r>
      <w:r w:rsidRPr="005D2D74">
        <w:rPr>
          <w:rFonts w:ascii="Arial" w:hAnsi="Arial" w:cs="Arial"/>
          <w:sz w:val="24"/>
          <w:szCs w:val="24"/>
          <w:lang w:eastAsia="en-GB"/>
        </w:rPr>
        <w:t xml:space="preserve">percentage points above the main residential rates. </w:t>
      </w:r>
      <w:r w:rsidR="00654D70" w:rsidRPr="005D2D74">
        <w:rPr>
          <w:rFonts w:ascii="Arial" w:hAnsi="Arial" w:cs="Arial"/>
          <w:sz w:val="24"/>
          <w:szCs w:val="24"/>
          <w:lang w:eastAsia="en-GB"/>
        </w:rPr>
        <w:t>This increase is estimated to raise an additional £7</w:t>
      </w:r>
      <w:r w:rsidR="00FE67B0">
        <w:rPr>
          <w:rFonts w:ascii="Arial" w:hAnsi="Arial" w:cs="Arial"/>
          <w:sz w:val="24"/>
          <w:szCs w:val="24"/>
          <w:lang w:eastAsia="en-GB"/>
        </w:rPr>
        <w:t>m</w:t>
      </w:r>
      <w:r w:rsidR="00DB63D5" w:rsidRPr="005D2D74">
        <w:rPr>
          <w:rFonts w:ascii="Arial" w:hAnsi="Arial" w:cs="Arial"/>
          <w:sz w:val="24"/>
          <w:szCs w:val="24"/>
          <w:lang w:eastAsia="en-GB"/>
        </w:rPr>
        <w:t xml:space="preserve"> </w:t>
      </w:r>
      <w:r w:rsidR="00654D70" w:rsidRPr="005D2D74">
        <w:rPr>
          <w:rFonts w:ascii="Arial" w:hAnsi="Arial" w:cs="Arial"/>
          <w:sz w:val="24"/>
          <w:szCs w:val="24"/>
          <w:lang w:eastAsia="en-GB"/>
        </w:rPr>
        <w:t>in 2025-26</w:t>
      </w:r>
      <w:r w:rsidR="00FE67B0">
        <w:rPr>
          <w:rFonts w:ascii="Arial" w:hAnsi="Arial" w:cs="Arial"/>
          <w:sz w:val="24"/>
          <w:szCs w:val="24"/>
          <w:lang w:eastAsia="en-GB"/>
        </w:rPr>
        <w:t>, which</w:t>
      </w:r>
      <w:r w:rsidR="00DB63D5" w:rsidRPr="005D2D74">
        <w:rPr>
          <w:rFonts w:ascii="Arial" w:hAnsi="Arial" w:cs="Arial"/>
          <w:sz w:val="24"/>
          <w:szCs w:val="24"/>
          <w:lang w:eastAsia="en-GB"/>
        </w:rPr>
        <w:t xml:space="preserve"> will increase the funding available to invest in public </w:t>
      </w:r>
      <w:r w:rsidR="00DB63D5" w:rsidRPr="005D2D74">
        <w:rPr>
          <w:rFonts w:ascii="Arial" w:hAnsi="Arial" w:cs="Arial"/>
          <w:sz w:val="24"/>
          <w:szCs w:val="24"/>
          <w:lang w:eastAsia="en-GB"/>
        </w:rPr>
        <w:lastRenderedPageBreak/>
        <w:t xml:space="preserve">services in Wales. </w:t>
      </w:r>
      <w:r w:rsidR="00FE67B0">
        <w:rPr>
          <w:rFonts w:ascii="Arial" w:hAnsi="Arial" w:cs="Arial"/>
          <w:sz w:val="24"/>
          <w:szCs w:val="24"/>
          <w:lang w:eastAsia="en-GB"/>
        </w:rPr>
        <w:br/>
      </w:r>
      <w:r w:rsidR="00FE67B0">
        <w:rPr>
          <w:rFonts w:ascii="Arial" w:hAnsi="Arial" w:cs="Arial"/>
          <w:sz w:val="24"/>
          <w:szCs w:val="24"/>
          <w:lang w:val="en" w:eastAsia="en-GB"/>
        </w:rPr>
        <w:br/>
      </w:r>
      <w:r w:rsidR="00A46E88" w:rsidRPr="005D2D74">
        <w:rPr>
          <w:rFonts w:ascii="Arial" w:hAnsi="Arial" w:cs="Arial"/>
          <w:sz w:val="24"/>
          <w:szCs w:val="24"/>
          <w:lang w:val="en" w:eastAsia="en-GB"/>
        </w:rPr>
        <w:t xml:space="preserve">The changes to the rates are set out in Annex </w:t>
      </w:r>
      <w:r w:rsidR="00D74DF0" w:rsidRPr="005D2D74">
        <w:rPr>
          <w:rFonts w:ascii="Arial" w:hAnsi="Arial" w:cs="Arial"/>
          <w:sz w:val="24"/>
          <w:szCs w:val="24"/>
          <w:lang w:val="en" w:eastAsia="en-GB"/>
        </w:rPr>
        <w:t>1</w:t>
      </w:r>
      <w:r w:rsidR="00A46E88" w:rsidRPr="005D2D74">
        <w:rPr>
          <w:rFonts w:ascii="Arial" w:hAnsi="Arial" w:cs="Arial"/>
          <w:sz w:val="24"/>
          <w:szCs w:val="24"/>
          <w:lang w:val="en" w:eastAsia="en-GB"/>
        </w:rPr>
        <w:t>. The regulations are subject to the made affirmative procedure and the</w:t>
      </w:r>
      <w:r w:rsidR="00DF6739" w:rsidRPr="005D2D74">
        <w:rPr>
          <w:rFonts w:ascii="Arial" w:hAnsi="Arial" w:cs="Arial"/>
          <w:sz w:val="24"/>
          <w:szCs w:val="24"/>
          <w:lang w:val="en" w:eastAsia="en-GB"/>
        </w:rPr>
        <w:t xml:space="preserve"> Senedd</w:t>
      </w:r>
      <w:r w:rsidR="00A46E88" w:rsidRPr="005D2D74">
        <w:rPr>
          <w:rFonts w:ascii="Arial" w:hAnsi="Arial" w:cs="Arial"/>
          <w:sz w:val="24"/>
          <w:szCs w:val="24"/>
          <w:lang w:val="en" w:eastAsia="en-GB"/>
        </w:rPr>
        <w:t xml:space="preserve"> vote to give these rates permanent effect </w:t>
      </w:r>
      <w:r w:rsidR="00FE67B0">
        <w:rPr>
          <w:rFonts w:ascii="Arial" w:hAnsi="Arial" w:cs="Arial"/>
          <w:sz w:val="24"/>
          <w:szCs w:val="24"/>
          <w:lang w:val="en" w:eastAsia="en-GB"/>
        </w:rPr>
        <w:t xml:space="preserve">will be held </w:t>
      </w:r>
      <w:r w:rsidR="00A46E88" w:rsidRPr="00C83063">
        <w:rPr>
          <w:rFonts w:ascii="Arial" w:hAnsi="Arial" w:cs="Arial"/>
          <w:sz w:val="24"/>
          <w:szCs w:val="24"/>
          <w:lang w:val="en" w:eastAsia="en-GB"/>
        </w:rPr>
        <w:t>in January.</w:t>
      </w:r>
      <w:r w:rsidR="00F353E9" w:rsidRPr="00C83063">
        <w:rPr>
          <w:rFonts w:ascii="Arial" w:hAnsi="Arial" w:cs="Arial"/>
          <w:sz w:val="24"/>
          <w:szCs w:val="24"/>
        </w:rPr>
        <w:t xml:space="preserve"> </w:t>
      </w:r>
    </w:p>
    <w:p w14:paraId="77C50E82" w14:textId="77777777" w:rsidR="003F31A3" w:rsidRPr="00C83063" w:rsidRDefault="003F31A3" w:rsidP="003F31A3">
      <w:pPr>
        <w:rPr>
          <w:rFonts w:ascii="Arial" w:hAnsi="Arial" w:cs="Arial"/>
          <w:sz w:val="24"/>
          <w:szCs w:val="24"/>
          <w:lang w:val="en" w:eastAsia="en-GB"/>
        </w:rPr>
      </w:pPr>
    </w:p>
    <w:p w14:paraId="3202FC63" w14:textId="77777777" w:rsidR="00D101DE" w:rsidRDefault="00B40AB1" w:rsidP="003F31A3">
      <w:pPr>
        <w:rPr>
          <w:rFonts w:ascii="Arial" w:hAnsi="Arial" w:cs="Arial"/>
          <w:sz w:val="24"/>
          <w:szCs w:val="24"/>
          <w:lang w:val="en" w:eastAsia="en-GB"/>
        </w:rPr>
      </w:pPr>
      <w:bookmarkStart w:id="1" w:name="_Hlk184033494"/>
      <w:r w:rsidRPr="00C83063">
        <w:rPr>
          <w:rFonts w:ascii="Arial" w:hAnsi="Arial" w:cs="Arial"/>
          <w:sz w:val="24"/>
          <w:szCs w:val="24"/>
          <w:lang w:val="en" w:eastAsia="en-GB"/>
        </w:rPr>
        <w:t xml:space="preserve">I </w:t>
      </w:r>
      <w:r w:rsidR="00A46E88" w:rsidRPr="00C83063">
        <w:rPr>
          <w:rFonts w:ascii="Arial" w:hAnsi="Arial" w:cs="Arial"/>
          <w:sz w:val="24"/>
          <w:szCs w:val="24"/>
          <w:lang w:val="en" w:eastAsia="en-GB"/>
        </w:rPr>
        <w:t xml:space="preserve">am </w:t>
      </w:r>
      <w:r w:rsidRPr="00C83063">
        <w:rPr>
          <w:rFonts w:ascii="Arial" w:hAnsi="Arial" w:cs="Arial"/>
          <w:sz w:val="24"/>
          <w:szCs w:val="24"/>
          <w:lang w:val="en" w:eastAsia="en-GB"/>
        </w:rPr>
        <w:t>not propos</w:t>
      </w:r>
      <w:r w:rsidR="00A46E88" w:rsidRPr="00C83063">
        <w:rPr>
          <w:rFonts w:ascii="Arial" w:hAnsi="Arial" w:cs="Arial"/>
          <w:sz w:val="24"/>
          <w:szCs w:val="24"/>
          <w:lang w:val="en" w:eastAsia="en-GB"/>
        </w:rPr>
        <w:t>ing</w:t>
      </w:r>
      <w:r w:rsidRPr="00C83063">
        <w:rPr>
          <w:rFonts w:ascii="Arial" w:hAnsi="Arial" w:cs="Arial"/>
          <w:sz w:val="24"/>
          <w:szCs w:val="24"/>
          <w:lang w:val="en" w:eastAsia="en-GB"/>
        </w:rPr>
        <w:t xml:space="preserve"> changes to any of the other rates </w:t>
      </w:r>
      <w:r w:rsidR="0020525E" w:rsidRPr="00C83063">
        <w:rPr>
          <w:rFonts w:ascii="Arial" w:hAnsi="Arial" w:cs="Arial"/>
          <w:sz w:val="24"/>
          <w:szCs w:val="24"/>
          <w:lang w:val="en" w:eastAsia="en-GB"/>
        </w:rPr>
        <w:t xml:space="preserve">or bands </w:t>
      </w:r>
      <w:r w:rsidRPr="00C83063">
        <w:rPr>
          <w:rFonts w:ascii="Arial" w:hAnsi="Arial" w:cs="Arial"/>
          <w:sz w:val="24"/>
          <w:szCs w:val="24"/>
          <w:lang w:val="en" w:eastAsia="en-GB"/>
        </w:rPr>
        <w:t>of LTT.</w:t>
      </w:r>
    </w:p>
    <w:p w14:paraId="3BECE0BB" w14:textId="77777777" w:rsidR="003F31A3" w:rsidRPr="00C83063" w:rsidRDefault="003F31A3" w:rsidP="003F31A3">
      <w:pPr>
        <w:rPr>
          <w:rFonts w:ascii="Arial" w:hAnsi="Arial" w:cs="Arial"/>
          <w:sz w:val="24"/>
          <w:szCs w:val="24"/>
        </w:rPr>
      </w:pPr>
    </w:p>
    <w:p w14:paraId="77DF7198" w14:textId="4165C28E" w:rsidR="002E3B8C" w:rsidRDefault="00DB63D5" w:rsidP="003F31A3">
      <w:pPr>
        <w:rPr>
          <w:rFonts w:ascii="Arial" w:hAnsi="Arial" w:cs="Arial"/>
          <w:sz w:val="24"/>
          <w:szCs w:val="24"/>
        </w:rPr>
      </w:pPr>
      <w:r w:rsidRPr="00C83063">
        <w:rPr>
          <w:rFonts w:ascii="Arial" w:hAnsi="Arial" w:cs="Arial"/>
          <w:sz w:val="24"/>
          <w:szCs w:val="24"/>
        </w:rPr>
        <w:t xml:space="preserve">The current </w:t>
      </w:r>
      <w:r w:rsidR="003B4752" w:rsidRPr="00C83063">
        <w:rPr>
          <w:rFonts w:ascii="Arial" w:hAnsi="Arial" w:cs="Arial"/>
          <w:sz w:val="24"/>
          <w:szCs w:val="24"/>
        </w:rPr>
        <w:t xml:space="preserve">starting threshold for the main residential rates of LTT </w:t>
      </w:r>
      <w:r w:rsidRPr="00C83063">
        <w:rPr>
          <w:rFonts w:ascii="Arial" w:hAnsi="Arial" w:cs="Arial"/>
          <w:sz w:val="24"/>
          <w:szCs w:val="24"/>
        </w:rPr>
        <w:t xml:space="preserve">remains </w:t>
      </w:r>
      <w:r w:rsidR="0057240F" w:rsidRPr="00C83063">
        <w:rPr>
          <w:rFonts w:ascii="Arial" w:hAnsi="Arial" w:cs="Arial"/>
          <w:sz w:val="24"/>
          <w:szCs w:val="24"/>
        </w:rPr>
        <w:t xml:space="preserve">at </w:t>
      </w:r>
      <w:r w:rsidR="003B4752" w:rsidRPr="00C83063">
        <w:rPr>
          <w:rFonts w:ascii="Arial" w:hAnsi="Arial" w:cs="Arial"/>
          <w:sz w:val="24"/>
          <w:szCs w:val="24"/>
        </w:rPr>
        <w:t>£225,000</w:t>
      </w:r>
      <w:r w:rsidR="00D101DE" w:rsidRPr="00C83063">
        <w:rPr>
          <w:rFonts w:ascii="Arial" w:hAnsi="Arial" w:cs="Arial"/>
          <w:sz w:val="24"/>
          <w:szCs w:val="24"/>
        </w:rPr>
        <w:t xml:space="preserve"> </w:t>
      </w:r>
      <w:r w:rsidRPr="00C83063">
        <w:rPr>
          <w:rFonts w:ascii="Arial" w:hAnsi="Arial" w:cs="Arial"/>
          <w:sz w:val="24"/>
          <w:szCs w:val="24"/>
        </w:rPr>
        <w:t>still ensuring</w:t>
      </w:r>
      <w:r w:rsidR="00B00D0E" w:rsidRPr="00C83063">
        <w:rPr>
          <w:rFonts w:ascii="Arial" w:hAnsi="Arial" w:cs="Arial"/>
          <w:sz w:val="24"/>
          <w:szCs w:val="24"/>
        </w:rPr>
        <w:t xml:space="preserve"> that around 60% of residential transactions are below </w:t>
      </w:r>
      <w:r w:rsidRPr="00C83063">
        <w:rPr>
          <w:rFonts w:ascii="Arial" w:hAnsi="Arial" w:cs="Arial"/>
          <w:sz w:val="24"/>
          <w:szCs w:val="24"/>
        </w:rPr>
        <w:t xml:space="preserve">the </w:t>
      </w:r>
      <w:r w:rsidR="00B00D0E" w:rsidRPr="00C83063">
        <w:rPr>
          <w:rFonts w:ascii="Arial" w:hAnsi="Arial" w:cs="Arial"/>
          <w:sz w:val="24"/>
          <w:szCs w:val="24"/>
        </w:rPr>
        <w:t>threshold</w:t>
      </w:r>
      <w:r w:rsidRPr="00C83063">
        <w:rPr>
          <w:rFonts w:ascii="Arial" w:hAnsi="Arial" w:cs="Arial"/>
          <w:sz w:val="24"/>
          <w:szCs w:val="24"/>
        </w:rPr>
        <w:t xml:space="preserve"> for paying LTT</w:t>
      </w:r>
      <w:r w:rsidR="00B00D0E" w:rsidRPr="00C83063">
        <w:rPr>
          <w:rFonts w:ascii="Arial" w:hAnsi="Arial" w:cs="Arial"/>
          <w:sz w:val="24"/>
          <w:szCs w:val="24"/>
        </w:rPr>
        <w:t>.</w:t>
      </w:r>
      <w:r w:rsidR="00A52275" w:rsidRPr="00C83063">
        <w:rPr>
          <w:rFonts w:ascii="Arial" w:hAnsi="Arial" w:cs="Arial"/>
          <w:sz w:val="24"/>
          <w:szCs w:val="24"/>
        </w:rPr>
        <w:t xml:space="preserve"> </w:t>
      </w:r>
    </w:p>
    <w:p w14:paraId="0F7C317D" w14:textId="77777777" w:rsidR="003F31A3" w:rsidRPr="00C83063" w:rsidRDefault="003F31A3" w:rsidP="003F31A3">
      <w:pPr>
        <w:rPr>
          <w:rFonts w:ascii="Arial" w:hAnsi="Arial" w:cs="Arial"/>
          <w:sz w:val="24"/>
          <w:szCs w:val="24"/>
        </w:rPr>
      </w:pPr>
    </w:p>
    <w:bookmarkEnd w:id="1"/>
    <w:p w14:paraId="4BEF670C" w14:textId="2B273053" w:rsidR="00D8639E" w:rsidRDefault="00D8639E" w:rsidP="003F31A3">
      <w:pPr>
        <w:jc w:val="both"/>
        <w:rPr>
          <w:rFonts w:ascii="Arial" w:hAnsi="Arial" w:cs="Arial"/>
          <w:sz w:val="24"/>
          <w:szCs w:val="24"/>
        </w:rPr>
      </w:pPr>
      <w:r w:rsidRPr="00C83063">
        <w:rPr>
          <w:rFonts w:ascii="Arial" w:hAnsi="Arial" w:cs="Arial"/>
          <w:sz w:val="24"/>
          <w:szCs w:val="24"/>
        </w:rPr>
        <w:t>The forecast revenues from LTT in 2025-26, as detailed in the Welsh Taxes Outlook published on 10 December, includes £2.6</w:t>
      </w:r>
      <w:r w:rsidR="00FE67B0">
        <w:rPr>
          <w:rFonts w:ascii="Arial" w:hAnsi="Arial" w:cs="Arial"/>
          <w:sz w:val="24"/>
          <w:szCs w:val="24"/>
        </w:rPr>
        <w:t xml:space="preserve">m </w:t>
      </w:r>
      <w:r w:rsidRPr="005D2D74">
        <w:rPr>
          <w:rFonts w:ascii="Arial" w:hAnsi="Arial" w:cs="Arial"/>
          <w:sz w:val="24"/>
          <w:szCs w:val="24"/>
        </w:rPr>
        <w:t xml:space="preserve">of additional tax receipts </w:t>
      </w:r>
      <w:r w:rsidR="00DB63D5" w:rsidRPr="005D2D74">
        <w:rPr>
          <w:rFonts w:ascii="Arial" w:hAnsi="Arial" w:cs="Arial"/>
          <w:sz w:val="24"/>
          <w:szCs w:val="24"/>
        </w:rPr>
        <w:t>because of</w:t>
      </w:r>
      <w:r w:rsidRPr="005D2D74">
        <w:rPr>
          <w:rFonts w:ascii="Arial" w:hAnsi="Arial" w:cs="Arial"/>
          <w:sz w:val="24"/>
          <w:szCs w:val="24"/>
        </w:rPr>
        <w:t xml:space="preserve"> additional resources being invested in the Welsh Revenue Authority</w:t>
      </w:r>
      <w:r w:rsidR="00FA7B8D">
        <w:rPr>
          <w:rFonts w:ascii="Arial" w:hAnsi="Arial" w:cs="Arial"/>
          <w:sz w:val="24"/>
          <w:szCs w:val="24"/>
        </w:rPr>
        <w:t>. This will allow the Authority</w:t>
      </w:r>
      <w:r w:rsidRPr="005D2D74">
        <w:rPr>
          <w:rFonts w:ascii="Arial" w:hAnsi="Arial" w:cs="Arial"/>
          <w:sz w:val="24"/>
          <w:szCs w:val="24"/>
        </w:rPr>
        <w:t xml:space="preserve"> to</w:t>
      </w:r>
      <w:r w:rsidR="00ED4B11" w:rsidRPr="005D2D74">
        <w:rPr>
          <w:rFonts w:ascii="Arial" w:hAnsi="Arial" w:cs="Arial"/>
          <w:sz w:val="24"/>
          <w:szCs w:val="24"/>
        </w:rPr>
        <w:t xml:space="preserve"> expand its work to </w:t>
      </w:r>
      <w:r w:rsidRPr="005D2D74">
        <w:rPr>
          <w:rFonts w:ascii="Arial" w:hAnsi="Arial" w:cs="Arial"/>
          <w:sz w:val="24"/>
          <w:szCs w:val="24"/>
        </w:rPr>
        <w:t xml:space="preserve">identify and rectify tax returns which seek to under report </w:t>
      </w:r>
      <w:r w:rsidR="001723B1" w:rsidRPr="005D2D74">
        <w:rPr>
          <w:rFonts w:ascii="Arial" w:hAnsi="Arial" w:cs="Arial"/>
          <w:sz w:val="24"/>
          <w:szCs w:val="24"/>
        </w:rPr>
        <w:t>tax liability</w:t>
      </w:r>
      <w:r w:rsidRPr="005D2D74">
        <w:rPr>
          <w:rFonts w:ascii="Arial" w:hAnsi="Arial" w:cs="Arial"/>
          <w:sz w:val="24"/>
          <w:szCs w:val="24"/>
        </w:rPr>
        <w:t xml:space="preserve"> and then </w:t>
      </w:r>
      <w:r w:rsidR="00161C5E">
        <w:rPr>
          <w:rFonts w:ascii="Arial" w:hAnsi="Arial" w:cs="Arial"/>
          <w:sz w:val="24"/>
          <w:szCs w:val="24"/>
        </w:rPr>
        <w:t xml:space="preserve">to </w:t>
      </w:r>
      <w:r w:rsidRPr="005D2D74">
        <w:rPr>
          <w:rFonts w:ascii="Arial" w:hAnsi="Arial" w:cs="Arial"/>
          <w:sz w:val="24"/>
          <w:szCs w:val="24"/>
        </w:rPr>
        <w:t xml:space="preserve">recover </w:t>
      </w:r>
      <w:r w:rsidR="001723B1" w:rsidRPr="005D2D74">
        <w:rPr>
          <w:rFonts w:ascii="Arial" w:hAnsi="Arial" w:cs="Arial"/>
          <w:sz w:val="24"/>
          <w:szCs w:val="24"/>
        </w:rPr>
        <w:t>those amounts</w:t>
      </w:r>
      <w:r w:rsidRPr="005D2D74">
        <w:rPr>
          <w:rFonts w:ascii="Arial" w:hAnsi="Arial" w:cs="Arial"/>
          <w:sz w:val="24"/>
          <w:szCs w:val="24"/>
        </w:rPr>
        <w:t>.</w:t>
      </w:r>
    </w:p>
    <w:p w14:paraId="60B097FA" w14:textId="77777777" w:rsidR="003F31A3" w:rsidRPr="005D2D74" w:rsidRDefault="003F31A3" w:rsidP="003F31A3">
      <w:pPr>
        <w:jc w:val="both"/>
        <w:rPr>
          <w:rFonts w:ascii="Arial" w:hAnsi="Arial" w:cs="Arial"/>
          <w:sz w:val="24"/>
          <w:szCs w:val="24"/>
        </w:rPr>
      </w:pPr>
    </w:p>
    <w:p w14:paraId="1688BEBD" w14:textId="1AA21AAB" w:rsidR="0020525E" w:rsidRDefault="00FE67B0" w:rsidP="003F31A3">
      <w:pPr>
        <w:jc w:val="both"/>
        <w:rPr>
          <w:rFonts w:ascii="Arial" w:hAnsi="Arial" w:cs="Arial"/>
          <w:sz w:val="24"/>
          <w:szCs w:val="24"/>
        </w:rPr>
      </w:pPr>
      <w:r>
        <w:rPr>
          <w:rFonts w:ascii="Arial" w:hAnsi="Arial" w:cs="Arial"/>
          <w:sz w:val="24"/>
          <w:szCs w:val="24"/>
        </w:rPr>
        <w:t>I</w:t>
      </w:r>
      <w:r w:rsidR="009B435C" w:rsidRPr="005D2D74">
        <w:rPr>
          <w:rFonts w:ascii="Arial" w:hAnsi="Arial" w:cs="Arial"/>
          <w:sz w:val="24"/>
          <w:szCs w:val="24"/>
        </w:rPr>
        <w:t xml:space="preserve">n the </w:t>
      </w:r>
      <w:r w:rsidR="001723B1" w:rsidRPr="005D2D74">
        <w:rPr>
          <w:rFonts w:ascii="Arial" w:hAnsi="Arial" w:cs="Arial"/>
          <w:sz w:val="24"/>
          <w:szCs w:val="24"/>
        </w:rPr>
        <w:t>N</w:t>
      </w:r>
      <w:r w:rsidR="009B435C" w:rsidRPr="005D2D74">
        <w:rPr>
          <w:rFonts w:ascii="Arial" w:hAnsi="Arial" w:cs="Arial"/>
          <w:sz w:val="24"/>
          <w:szCs w:val="24"/>
        </w:rPr>
        <w:t xml:space="preserve">ew </w:t>
      </w:r>
      <w:r w:rsidR="001723B1" w:rsidRPr="005D2D74">
        <w:rPr>
          <w:rFonts w:ascii="Arial" w:hAnsi="Arial" w:cs="Arial"/>
          <w:sz w:val="24"/>
          <w:szCs w:val="24"/>
        </w:rPr>
        <w:t>Y</w:t>
      </w:r>
      <w:r w:rsidR="009B435C" w:rsidRPr="005D2D74">
        <w:rPr>
          <w:rFonts w:ascii="Arial" w:hAnsi="Arial" w:cs="Arial"/>
          <w:sz w:val="24"/>
          <w:szCs w:val="24"/>
        </w:rPr>
        <w:t>ear</w:t>
      </w:r>
      <w:r>
        <w:rPr>
          <w:rFonts w:ascii="Arial" w:hAnsi="Arial" w:cs="Arial"/>
          <w:sz w:val="24"/>
          <w:szCs w:val="24"/>
        </w:rPr>
        <w:t>,</w:t>
      </w:r>
      <w:r w:rsidR="009B435C" w:rsidRPr="005D2D74">
        <w:rPr>
          <w:rFonts w:ascii="Arial" w:hAnsi="Arial" w:cs="Arial"/>
          <w:sz w:val="24"/>
          <w:szCs w:val="24"/>
        </w:rPr>
        <w:t xml:space="preserve"> </w:t>
      </w:r>
      <w:r w:rsidR="00A46E88" w:rsidRPr="005D2D74">
        <w:rPr>
          <w:rFonts w:ascii="Arial" w:hAnsi="Arial" w:cs="Arial"/>
          <w:sz w:val="24"/>
          <w:szCs w:val="24"/>
        </w:rPr>
        <w:t>I will</w:t>
      </w:r>
      <w:r w:rsidR="00161C5E">
        <w:rPr>
          <w:rFonts w:ascii="Arial" w:hAnsi="Arial" w:cs="Arial"/>
          <w:sz w:val="24"/>
          <w:szCs w:val="24"/>
        </w:rPr>
        <w:t xml:space="preserve"> </w:t>
      </w:r>
      <w:r w:rsidR="00A46E88" w:rsidRPr="005D2D74">
        <w:rPr>
          <w:rFonts w:ascii="Arial" w:hAnsi="Arial" w:cs="Arial"/>
          <w:sz w:val="24"/>
          <w:szCs w:val="24"/>
        </w:rPr>
        <w:t xml:space="preserve">lay </w:t>
      </w:r>
      <w:r w:rsidR="009B435C" w:rsidRPr="005D2D74">
        <w:rPr>
          <w:rFonts w:ascii="Arial" w:hAnsi="Arial" w:cs="Arial"/>
          <w:sz w:val="24"/>
          <w:szCs w:val="24"/>
        </w:rPr>
        <w:t xml:space="preserve">draft regulations </w:t>
      </w:r>
      <w:r w:rsidR="009F13FA" w:rsidRPr="005D2D74">
        <w:rPr>
          <w:rFonts w:ascii="Arial" w:hAnsi="Arial" w:cs="Arial"/>
          <w:sz w:val="24"/>
          <w:szCs w:val="24"/>
        </w:rPr>
        <w:t xml:space="preserve">in the Senedd </w:t>
      </w:r>
      <w:r w:rsidR="00A46E88" w:rsidRPr="005D2D74">
        <w:rPr>
          <w:rFonts w:ascii="Arial" w:hAnsi="Arial" w:cs="Arial"/>
          <w:sz w:val="24"/>
          <w:szCs w:val="24"/>
        </w:rPr>
        <w:t>to make changes to the multiple dwellings relief</w:t>
      </w:r>
      <w:r w:rsidR="001723B1" w:rsidRPr="005D2D74">
        <w:rPr>
          <w:rFonts w:ascii="Arial" w:hAnsi="Arial" w:cs="Arial"/>
          <w:sz w:val="24"/>
          <w:szCs w:val="24"/>
        </w:rPr>
        <w:t xml:space="preserve"> (MDR) available on the purchase of two or more dwellings in Wales</w:t>
      </w:r>
      <w:r w:rsidR="009F13FA" w:rsidRPr="005D2D74">
        <w:rPr>
          <w:rFonts w:ascii="Arial" w:hAnsi="Arial" w:cs="Arial"/>
          <w:sz w:val="24"/>
          <w:szCs w:val="24"/>
        </w:rPr>
        <w:t>. The</w:t>
      </w:r>
      <w:r>
        <w:rPr>
          <w:rFonts w:ascii="Arial" w:hAnsi="Arial" w:cs="Arial"/>
          <w:sz w:val="24"/>
          <w:szCs w:val="24"/>
        </w:rPr>
        <w:t>se</w:t>
      </w:r>
      <w:r w:rsidR="009F13FA" w:rsidRPr="005D2D74">
        <w:rPr>
          <w:rFonts w:ascii="Arial" w:hAnsi="Arial" w:cs="Arial"/>
          <w:sz w:val="24"/>
          <w:szCs w:val="24"/>
        </w:rPr>
        <w:t xml:space="preserve"> changes </w:t>
      </w:r>
      <w:r>
        <w:rPr>
          <w:rFonts w:ascii="Arial" w:hAnsi="Arial" w:cs="Arial"/>
          <w:sz w:val="24"/>
          <w:szCs w:val="24"/>
        </w:rPr>
        <w:t xml:space="preserve">will </w:t>
      </w:r>
      <w:r w:rsidR="009F13FA" w:rsidRPr="005D2D74">
        <w:rPr>
          <w:rFonts w:ascii="Arial" w:hAnsi="Arial" w:cs="Arial"/>
          <w:sz w:val="24"/>
          <w:szCs w:val="24"/>
        </w:rPr>
        <w:t xml:space="preserve">ensure MDR claims </w:t>
      </w:r>
      <w:r w:rsidR="001723B1" w:rsidRPr="005D2D74">
        <w:rPr>
          <w:rFonts w:ascii="Arial" w:hAnsi="Arial" w:cs="Arial"/>
          <w:sz w:val="24"/>
          <w:szCs w:val="24"/>
        </w:rPr>
        <w:t>will</w:t>
      </w:r>
      <w:r w:rsidR="009F13FA" w:rsidRPr="005D2D74">
        <w:rPr>
          <w:rFonts w:ascii="Arial" w:hAnsi="Arial" w:cs="Arial"/>
          <w:sz w:val="24"/>
          <w:szCs w:val="24"/>
        </w:rPr>
        <w:t xml:space="preserve"> not be allowed where the Subsidiary Dwelling Exemption (SDE) is applied, so taxpayers subject to the SDE would pay the main residential rates on the total consideration, without the benefit of MDR. </w:t>
      </w:r>
      <w:r>
        <w:rPr>
          <w:rFonts w:ascii="Arial" w:hAnsi="Arial" w:cs="Arial"/>
          <w:sz w:val="24"/>
          <w:szCs w:val="24"/>
        </w:rPr>
        <w:t xml:space="preserve">This is </w:t>
      </w:r>
      <w:r w:rsidR="00ED4B11" w:rsidRPr="005D2D74">
        <w:rPr>
          <w:rFonts w:ascii="Arial" w:hAnsi="Arial" w:cs="Arial"/>
          <w:sz w:val="24"/>
          <w:szCs w:val="24"/>
        </w:rPr>
        <w:t>a first step to improving the regime underpinning the purchases of more than one property in a transaction</w:t>
      </w:r>
      <w:r>
        <w:rPr>
          <w:rFonts w:ascii="Arial" w:hAnsi="Arial" w:cs="Arial"/>
          <w:sz w:val="24"/>
          <w:szCs w:val="24"/>
        </w:rPr>
        <w:t>. F</w:t>
      </w:r>
      <w:r w:rsidR="00ED4B11" w:rsidRPr="005D2D74">
        <w:rPr>
          <w:rFonts w:ascii="Arial" w:hAnsi="Arial" w:cs="Arial"/>
          <w:sz w:val="24"/>
          <w:szCs w:val="24"/>
        </w:rPr>
        <w:t xml:space="preserve">urther work </w:t>
      </w:r>
      <w:r>
        <w:rPr>
          <w:rFonts w:ascii="Arial" w:hAnsi="Arial" w:cs="Arial"/>
          <w:sz w:val="24"/>
          <w:szCs w:val="24"/>
        </w:rPr>
        <w:t xml:space="preserve">will be carried out </w:t>
      </w:r>
      <w:r w:rsidR="00ED4B11" w:rsidRPr="005D2D74">
        <w:rPr>
          <w:rFonts w:ascii="Arial" w:hAnsi="Arial" w:cs="Arial"/>
          <w:sz w:val="24"/>
          <w:szCs w:val="24"/>
        </w:rPr>
        <w:t xml:space="preserve">to </w:t>
      </w:r>
      <w:r w:rsidR="009F13FA" w:rsidRPr="005D2D74">
        <w:rPr>
          <w:rFonts w:ascii="Arial" w:hAnsi="Arial" w:cs="Arial"/>
          <w:sz w:val="24"/>
          <w:szCs w:val="24"/>
        </w:rPr>
        <w:t xml:space="preserve">consider MDR </w:t>
      </w:r>
      <w:r w:rsidR="00A46E88" w:rsidRPr="005D2D74">
        <w:rPr>
          <w:rFonts w:ascii="Arial" w:hAnsi="Arial" w:cs="Arial"/>
          <w:sz w:val="24"/>
          <w:szCs w:val="24"/>
        </w:rPr>
        <w:t>relief within the LTT regime over the coming year.</w:t>
      </w:r>
    </w:p>
    <w:p w14:paraId="6A1245AC" w14:textId="77777777" w:rsidR="003F31A3" w:rsidRPr="005D2D74" w:rsidRDefault="003F31A3" w:rsidP="003F31A3">
      <w:pPr>
        <w:jc w:val="both"/>
        <w:rPr>
          <w:rFonts w:ascii="Arial" w:hAnsi="Arial" w:cs="Arial"/>
          <w:sz w:val="24"/>
          <w:szCs w:val="24"/>
        </w:rPr>
      </w:pPr>
    </w:p>
    <w:p w14:paraId="4931147F" w14:textId="24C1F70C" w:rsidR="00A46E88" w:rsidRDefault="00FE67B0" w:rsidP="003F31A3">
      <w:pPr>
        <w:jc w:val="both"/>
        <w:rPr>
          <w:rFonts w:ascii="Arial" w:hAnsi="Arial" w:cs="Arial"/>
          <w:sz w:val="24"/>
          <w:szCs w:val="24"/>
        </w:rPr>
      </w:pPr>
      <w:r>
        <w:rPr>
          <w:rFonts w:ascii="Arial" w:hAnsi="Arial" w:cs="Arial"/>
          <w:sz w:val="24"/>
          <w:szCs w:val="24"/>
        </w:rPr>
        <w:t>D</w:t>
      </w:r>
      <w:r w:rsidR="00A46E88" w:rsidRPr="005D2D74">
        <w:rPr>
          <w:rFonts w:ascii="Arial" w:hAnsi="Arial" w:cs="Arial"/>
          <w:sz w:val="24"/>
          <w:szCs w:val="24"/>
        </w:rPr>
        <w:t>raft regulations</w:t>
      </w:r>
      <w:r>
        <w:rPr>
          <w:rFonts w:ascii="Arial" w:hAnsi="Arial" w:cs="Arial"/>
          <w:sz w:val="24"/>
          <w:szCs w:val="24"/>
        </w:rPr>
        <w:t xml:space="preserve"> will also be laid</w:t>
      </w:r>
      <w:r w:rsidR="00A46E88" w:rsidRPr="005D2D74">
        <w:rPr>
          <w:rFonts w:ascii="Arial" w:hAnsi="Arial" w:cs="Arial"/>
          <w:sz w:val="24"/>
          <w:szCs w:val="24"/>
        </w:rPr>
        <w:t xml:space="preserve"> today to extend the new </w:t>
      </w:r>
      <w:r w:rsidR="00F353E9" w:rsidRPr="005D2D74">
        <w:rPr>
          <w:rFonts w:ascii="Arial" w:hAnsi="Arial" w:cs="Arial"/>
          <w:sz w:val="24"/>
          <w:szCs w:val="24"/>
        </w:rPr>
        <w:t xml:space="preserve">LTT </w:t>
      </w:r>
      <w:r w:rsidR="00A46E88" w:rsidRPr="005D2D74">
        <w:rPr>
          <w:rFonts w:ascii="Arial" w:hAnsi="Arial" w:cs="Arial"/>
          <w:sz w:val="24"/>
          <w:szCs w:val="24"/>
        </w:rPr>
        <w:t xml:space="preserve">special tax sites relief </w:t>
      </w:r>
      <w:r w:rsidR="00ED4B11" w:rsidRPr="005D2D74">
        <w:rPr>
          <w:rFonts w:ascii="Arial" w:hAnsi="Arial" w:cs="Arial"/>
          <w:sz w:val="24"/>
          <w:szCs w:val="24"/>
        </w:rPr>
        <w:t xml:space="preserve">currently afforded to the Celtic Freeport, </w:t>
      </w:r>
      <w:r w:rsidR="00A46E88" w:rsidRPr="005D2D74">
        <w:rPr>
          <w:rFonts w:ascii="Arial" w:hAnsi="Arial" w:cs="Arial"/>
          <w:sz w:val="24"/>
          <w:szCs w:val="24"/>
        </w:rPr>
        <w:t xml:space="preserve">to the relevant designated areas of the Ynys Môn Freeport. Those regulations </w:t>
      </w:r>
      <w:r w:rsidR="007800C8" w:rsidRPr="005D2D74">
        <w:rPr>
          <w:rFonts w:ascii="Arial" w:hAnsi="Arial" w:cs="Arial"/>
          <w:sz w:val="24"/>
          <w:szCs w:val="24"/>
        </w:rPr>
        <w:t xml:space="preserve">are subject to the draft affirmative procedure and </w:t>
      </w:r>
      <w:r w:rsidR="00F353E9" w:rsidRPr="005D2D74">
        <w:rPr>
          <w:rFonts w:ascii="Arial" w:hAnsi="Arial" w:cs="Arial"/>
          <w:sz w:val="24"/>
          <w:szCs w:val="24"/>
        </w:rPr>
        <w:t xml:space="preserve">Senedd </w:t>
      </w:r>
      <w:r w:rsidR="007800C8" w:rsidRPr="005D2D74">
        <w:rPr>
          <w:rFonts w:ascii="Arial" w:hAnsi="Arial" w:cs="Arial"/>
          <w:sz w:val="24"/>
          <w:szCs w:val="24"/>
        </w:rPr>
        <w:t xml:space="preserve">approval will be sought in January to ensure the relief is in place when the UK </w:t>
      </w:r>
      <w:r w:rsidR="009B435C" w:rsidRPr="005D2D74">
        <w:rPr>
          <w:rFonts w:ascii="Arial" w:hAnsi="Arial" w:cs="Arial"/>
          <w:sz w:val="24"/>
          <w:szCs w:val="24"/>
        </w:rPr>
        <w:t>G</w:t>
      </w:r>
      <w:r w:rsidR="007800C8" w:rsidRPr="005D2D74">
        <w:rPr>
          <w:rFonts w:ascii="Arial" w:hAnsi="Arial" w:cs="Arial"/>
          <w:sz w:val="24"/>
          <w:szCs w:val="24"/>
        </w:rPr>
        <w:t>overnment’s designation</w:t>
      </w:r>
      <w:r>
        <w:rPr>
          <w:rFonts w:ascii="Arial" w:hAnsi="Arial" w:cs="Arial"/>
          <w:sz w:val="24"/>
          <w:szCs w:val="24"/>
        </w:rPr>
        <w:t xml:space="preserve"> </w:t>
      </w:r>
      <w:r w:rsidR="007800C8" w:rsidRPr="005D2D74">
        <w:rPr>
          <w:rFonts w:ascii="Arial" w:hAnsi="Arial" w:cs="Arial"/>
          <w:sz w:val="24"/>
          <w:szCs w:val="24"/>
        </w:rPr>
        <w:t xml:space="preserve">regulations come into force. </w:t>
      </w:r>
    </w:p>
    <w:p w14:paraId="78749D6B" w14:textId="77777777" w:rsidR="003F31A3" w:rsidRPr="005D2D74" w:rsidRDefault="003F31A3" w:rsidP="003F31A3">
      <w:pPr>
        <w:jc w:val="both"/>
        <w:rPr>
          <w:rFonts w:ascii="Arial" w:hAnsi="Arial" w:cs="Arial"/>
          <w:sz w:val="24"/>
          <w:szCs w:val="24"/>
        </w:rPr>
      </w:pPr>
    </w:p>
    <w:p w14:paraId="0D40E1A4" w14:textId="77777777" w:rsidR="00D74DF0" w:rsidRDefault="00D74DF0" w:rsidP="003F31A3">
      <w:pPr>
        <w:rPr>
          <w:rFonts w:ascii="Arial" w:hAnsi="Arial" w:cs="Arial"/>
          <w:b/>
          <w:bCs/>
          <w:sz w:val="24"/>
          <w:szCs w:val="24"/>
          <w:u w:val="single"/>
        </w:rPr>
      </w:pPr>
      <w:r w:rsidRPr="005D2D74">
        <w:rPr>
          <w:rFonts w:ascii="Arial" w:hAnsi="Arial" w:cs="Arial"/>
          <w:b/>
          <w:bCs/>
          <w:sz w:val="24"/>
          <w:szCs w:val="24"/>
          <w:u w:val="single"/>
        </w:rPr>
        <w:t>Landfill Disposals Tax</w:t>
      </w:r>
    </w:p>
    <w:p w14:paraId="122537C2" w14:textId="77777777" w:rsidR="003F31A3" w:rsidRPr="005D2D74" w:rsidRDefault="003F31A3" w:rsidP="003F31A3">
      <w:pPr>
        <w:rPr>
          <w:rFonts w:ascii="Arial" w:hAnsi="Arial" w:cs="Arial"/>
          <w:b/>
          <w:bCs/>
          <w:sz w:val="24"/>
          <w:szCs w:val="24"/>
          <w:u w:val="single"/>
        </w:rPr>
      </w:pPr>
    </w:p>
    <w:p w14:paraId="2B571419" w14:textId="68DDD2E3" w:rsidR="00D74DF0" w:rsidRDefault="00FE67B0" w:rsidP="003F31A3">
      <w:pPr>
        <w:rPr>
          <w:rFonts w:ascii="Arial" w:hAnsi="Arial" w:cs="Arial"/>
          <w:sz w:val="24"/>
          <w:szCs w:val="24"/>
        </w:rPr>
      </w:pPr>
      <w:bookmarkStart w:id="2" w:name="_Hlk184033589"/>
      <w:r>
        <w:rPr>
          <w:rFonts w:ascii="Arial" w:hAnsi="Arial" w:cs="Arial"/>
          <w:sz w:val="24"/>
          <w:szCs w:val="24"/>
        </w:rPr>
        <w:t>This Draft Budget proposes raising the</w:t>
      </w:r>
      <w:r w:rsidR="00D74DF0" w:rsidRPr="00C83063">
        <w:rPr>
          <w:rFonts w:ascii="Arial" w:hAnsi="Arial" w:cs="Arial"/>
          <w:sz w:val="24"/>
          <w:szCs w:val="24"/>
        </w:rPr>
        <w:t xml:space="preserve"> standard rate of Landfill Disposals Tax </w:t>
      </w:r>
      <w:r>
        <w:rPr>
          <w:rFonts w:ascii="Arial" w:hAnsi="Arial" w:cs="Arial"/>
          <w:sz w:val="24"/>
          <w:szCs w:val="24"/>
        </w:rPr>
        <w:t>(LDT)</w:t>
      </w:r>
      <w:r w:rsidRPr="00FE67B0">
        <w:rPr>
          <w:rFonts w:ascii="Arial" w:hAnsi="Arial" w:cs="Arial"/>
          <w:sz w:val="24"/>
          <w:szCs w:val="24"/>
        </w:rPr>
        <w:t xml:space="preserve"> </w:t>
      </w:r>
      <w:r>
        <w:rPr>
          <w:rFonts w:ascii="Arial" w:hAnsi="Arial" w:cs="Arial"/>
          <w:sz w:val="24"/>
          <w:szCs w:val="24"/>
        </w:rPr>
        <w:t>f</w:t>
      </w:r>
      <w:r w:rsidRPr="0039475F">
        <w:rPr>
          <w:rFonts w:ascii="Arial" w:hAnsi="Arial" w:cs="Arial"/>
          <w:sz w:val="24"/>
          <w:szCs w:val="24"/>
        </w:rPr>
        <w:t>rom 1 April 2025</w:t>
      </w:r>
      <w:r>
        <w:rPr>
          <w:rFonts w:ascii="Arial" w:hAnsi="Arial" w:cs="Arial"/>
          <w:sz w:val="24"/>
          <w:szCs w:val="24"/>
        </w:rPr>
        <w:t xml:space="preserve">, </w:t>
      </w:r>
      <w:r w:rsidR="00D74DF0" w:rsidRPr="00C83063">
        <w:rPr>
          <w:rFonts w:ascii="Arial" w:hAnsi="Arial" w:cs="Arial"/>
          <w:sz w:val="24"/>
          <w:szCs w:val="24"/>
        </w:rPr>
        <w:t xml:space="preserve">in line with </w:t>
      </w:r>
      <w:r w:rsidR="009F13FA" w:rsidRPr="00C83063">
        <w:rPr>
          <w:rFonts w:ascii="Arial" w:hAnsi="Arial" w:cs="Arial"/>
          <w:sz w:val="24"/>
          <w:szCs w:val="24"/>
        </w:rPr>
        <w:t>the</w:t>
      </w:r>
      <w:r w:rsidR="009B435C" w:rsidRPr="00C83063">
        <w:rPr>
          <w:rFonts w:ascii="Arial" w:hAnsi="Arial" w:cs="Arial"/>
          <w:sz w:val="24"/>
          <w:szCs w:val="24"/>
        </w:rPr>
        <w:t xml:space="preserve"> </w:t>
      </w:r>
      <w:r w:rsidR="00D74DF0" w:rsidRPr="00C83063">
        <w:rPr>
          <w:rFonts w:ascii="Arial" w:hAnsi="Arial" w:cs="Arial"/>
          <w:sz w:val="24"/>
          <w:szCs w:val="24"/>
        </w:rPr>
        <w:t xml:space="preserve">increase to </w:t>
      </w:r>
      <w:r w:rsidR="009F13FA" w:rsidRPr="00C83063">
        <w:rPr>
          <w:rFonts w:ascii="Arial" w:hAnsi="Arial" w:cs="Arial"/>
          <w:sz w:val="24"/>
          <w:szCs w:val="24"/>
        </w:rPr>
        <w:t xml:space="preserve">UK Government’s </w:t>
      </w:r>
      <w:r w:rsidR="00D74DF0" w:rsidRPr="00C83063">
        <w:rPr>
          <w:rFonts w:ascii="Arial" w:hAnsi="Arial" w:cs="Arial"/>
          <w:sz w:val="24"/>
          <w:szCs w:val="24"/>
        </w:rPr>
        <w:t xml:space="preserve">equivalent Landfill Tax. </w:t>
      </w:r>
      <w:r>
        <w:rPr>
          <w:rFonts w:ascii="Arial" w:hAnsi="Arial" w:cs="Arial"/>
          <w:sz w:val="24"/>
          <w:szCs w:val="24"/>
        </w:rPr>
        <w:t xml:space="preserve">This will ensure </w:t>
      </w:r>
      <w:r w:rsidR="00D74DF0" w:rsidRPr="00C83063">
        <w:rPr>
          <w:rFonts w:ascii="Arial" w:hAnsi="Arial" w:cs="Arial"/>
          <w:sz w:val="24"/>
          <w:szCs w:val="24"/>
        </w:rPr>
        <w:t>public services in Wales continue to benefit from the tax revenue</w:t>
      </w:r>
      <w:r w:rsidR="00ED4B11" w:rsidRPr="00C83063">
        <w:rPr>
          <w:rFonts w:ascii="Arial" w:hAnsi="Arial" w:cs="Arial"/>
          <w:sz w:val="24"/>
          <w:szCs w:val="24"/>
        </w:rPr>
        <w:t>s</w:t>
      </w:r>
      <w:r w:rsidR="00D74DF0" w:rsidRPr="00C83063">
        <w:rPr>
          <w:rFonts w:ascii="Arial" w:hAnsi="Arial" w:cs="Arial"/>
          <w:sz w:val="24"/>
          <w:szCs w:val="24"/>
        </w:rPr>
        <w:t xml:space="preserve">, while </w:t>
      </w:r>
      <w:r>
        <w:rPr>
          <w:rFonts w:ascii="Arial" w:hAnsi="Arial" w:cs="Arial"/>
          <w:sz w:val="24"/>
          <w:szCs w:val="24"/>
        </w:rPr>
        <w:t>minimising</w:t>
      </w:r>
      <w:r w:rsidRPr="00C83063">
        <w:rPr>
          <w:rFonts w:ascii="Arial" w:hAnsi="Arial" w:cs="Arial"/>
          <w:sz w:val="24"/>
          <w:szCs w:val="24"/>
        </w:rPr>
        <w:t xml:space="preserve"> </w:t>
      </w:r>
      <w:r w:rsidR="00D74DF0" w:rsidRPr="00C83063">
        <w:rPr>
          <w:rFonts w:ascii="Arial" w:hAnsi="Arial" w:cs="Arial"/>
          <w:sz w:val="24"/>
          <w:szCs w:val="24"/>
        </w:rPr>
        <w:t>the risk of the movement of waste across borders.</w:t>
      </w:r>
    </w:p>
    <w:p w14:paraId="6CFC52FE" w14:textId="77777777" w:rsidR="003F31A3" w:rsidRPr="00C83063" w:rsidRDefault="003F31A3" w:rsidP="003F31A3">
      <w:pPr>
        <w:rPr>
          <w:rFonts w:ascii="Arial" w:hAnsi="Arial" w:cs="Arial"/>
          <w:sz w:val="24"/>
          <w:szCs w:val="24"/>
        </w:rPr>
      </w:pPr>
    </w:p>
    <w:bookmarkEnd w:id="2"/>
    <w:p w14:paraId="4DF2861D" w14:textId="48028D73" w:rsidR="009F13FA" w:rsidRDefault="00D74DF0" w:rsidP="003F31A3">
      <w:pPr>
        <w:rPr>
          <w:rFonts w:ascii="Arial" w:hAnsi="Arial" w:cs="Arial"/>
          <w:sz w:val="24"/>
          <w:szCs w:val="24"/>
        </w:rPr>
      </w:pPr>
      <w:r w:rsidRPr="00C83063">
        <w:rPr>
          <w:rFonts w:ascii="Arial" w:hAnsi="Arial" w:cs="Arial"/>
          <w:sz w:val="24"/>
          <w:szCs w:val="24"/>
        </w:rPr>
        <w:t xml:space="preserve">Following the public consultation on the lower rate of LDT, </w:t>
      </w:r>
      <w:bookmarkStart w:id="3" w:name="_Hlk184033738"/>
      <w:r w:rsidR="00FE67B0">
        <w:rPr>
          <w:rFonts w:ascii="Arial" w:hAnsi="Arial" w:cs="Arial"/>
          <w:sz w:val="24"/>
          <w:szCs w:val="24"/>
        </w:rPr>
        <w:t xml:space="preserve">it will </w:t>
      </w:r>
      <w:r w:rsidRPr="00C83063">
        <w:rPr>
          <w:rFonts w:ascii="Arial" w:hAnsi="Arial" w:cs="Arial"/>
          <w:sz w:val="24"/>
          <w:szCs w:val="24"/>
        </w:rPr>
        <w:t>be increased to £6.30</w:t>
      </w:r>
      <w:r w:rsidR="00FE67B0">
        <w:rPr>
          <w:rFonts w:ascii="Arial" w:hAnsi="Arial" w:cs="Arial"/>
          <w:sz w:val="24"/>
          <w:szCs w:val="24"/>
        </w:rPr>
        <w:t xml:space="preserve"> per tonne</w:t>
      </w:r>
      <w:r w:rsidRPr="00C83063">
        <w:rPr>
          <w:rFonts w:ascii="Arial" w:hAnsi="Arial" w:cs="Arial"/>
          <w:sz w:val="24"/>
          <w:szCs w:val="24"/>
        </w:rPr>
        <w:t>. This will set the lower rate at 5% of the standard rate, just under double the existing rate.</w:t>
      </w:r>
      <w:r w:rsidR="009F13FA" w:rsidRPr="00C83063">
        <w:rPr>
          <w:rFonts w:ascii="Arial" w:hAnsi="Arial" w:cs="Arial"/>
          <w:sz w:val="24"/>
          <w:szCs w:val="24"/>
        </w:rPr>
        <w:t xml:space="preserve"> </w:t>
      </w:r>
      <w:bookmarkEnd w:id="3"/>
    </w:p>
    <w:p w14:paraId="7F134C25" w14:textId="77777777" w:rsidR="003F31A3" w:rsidRPr="00C83063" w:rsidRDefault="003F31A3" w:rsidP="003F31A3">
      <w:pPr>
        <w:rPr>
          <w:rFonts w:ascii="Arial" w:hAnsi="Arial" w:cs="Arial"/>
          <w:sz w:val="24"/>
          <w:szCs w:val="24"/>
        </w:rPr>
      </w:pPr>
    </w:p>
    <w:p w14:paraId="0870B818" w14:textId="3AC9AA7F" w:rsidR="0052454D" w:rsidRDefault="009614FA" w:rsidP="003F31A3">
      <w:pPr>
        <w:rPr>
          <w:rFonts w:ascii="Arial" w:hAnsi="Arial" w:cs="Arial"/>
          <w:sz w:val="24"/>
          <w:szCs w:val="24"/>
        </w:rPr>
      </w:pPr>
      <w:hyperlink r:id="rId13" w:history="1">
        <w:r w:rsidR="0000710B" w:rsidRPr="009614FA">
          <w:rPr>
            <w:rStyle w:val="Hyperlink"/>
            <w:rFonts w:ascii="Arial" w:hAnsi="Arial" w:cs="Arial"/>
            <w:sz w:val="24"/>
            <w:szCs w:val="24"/>
          </w:rPr>
          <w:t xml:space="preserve">The </w:t>
        </w:r>
        <w:r w:rsidR="0052454D" w:rsidRPr="009614FA">
          <w:rPr>
            <w:rStyle w:val="Hyperlink"/>
            <w:rFonts w:ascii="Arial" w:hAnsi="Arial" w:cs="Arial"/>
            <w:sz w:val="24"/>
            <w:szCs w:val="24"/>
          </w:rPr>
          <w:t>summary of responses to the public consultation on the lower rate of LDT</w:t>
        </w:r>
      </w:hyperlink>
      <w:r w:rsidR="0000710B">
        <w:rPr>
          <w:rFonts w:ascii="Arial" w:hAnsi="Arial" w:cs="Arial"/>
          <w:sz w:val="24"/>
          <w:szCs w:val="24"/>
        </w:rPr>
        <w:t xml:space="preserve"> is published today.</w:t>
      </w:r>
    </w:p>
    <w:p w14:paraId="6B2E3208" w14:textId="77777777" w:rsidR="003F31A3" w:rsidRPr="00C83063" w:rsidRDefault="003F31A3" w:rsidP="003F31A3">
      <w:pPr>
        <w:rPr>
          <w:rFonts w:ascii="Arial" w:hAnsi="Arial" w:cs="Arial"/>
          <w:sz w:val="24"/>
          <w:szCs w:val="24"/>
        </w:rPr>
      </w:pPr>
    </w:p>
    <w:p w14:paraId="4715CB9D" w14:textId="0110D056" w:rsidR="00ED4B11" w:rsidRDefault="001D4EAC" w:rsidP="003F31A3">
      <w:pPr>
        <w:rPr>
          <w:rFonts w:ascii="Arial" w:hAnsi="Arial" w:cs="Arial"/>
          <w:sz w:val="24"/>
          <w:szCs w:val="24"/>
        </w:rPr>
      </w:pPr>
      <w:r>
        <w:rPr>
          <w:rFonts w:ascii="Arial" w:hAnsi="Arial" w:cs="Arial"/>
          <w:sz w:val="24"/>
          <w:szCs w:val="24"/>
        </w:rPr>
        <w:lastRenderedPageBreak/>
        <w:t>The</w:t>
      </w:r>
      <w:r w:rsidR="00A40DB1">
        <w:rPr>
          <w:rFonts w:ascii="Arial" w:hAnsi="Arial" w:cs="Arial"/>
          <w:sz w:val="24"/>
          <w:szCs w:val="24"/>
        </w:rPr>
        <w:t xml:space="preserve"> new</w:t>
      </w:r>
      <w:r>
        <w:rPr>
          <w:rFonts w:ascii="Arial" w:hAnsi="Arial" w:cs="Arial"/>
          <w:sz w:val="24"/>
          <w:szCs w:val="24"/>
        </w:rPr>
        <w:t xml:space="preserve"> </w:t>
      </w:r>
      <w:r w:rsidR="009F13FA" w:rsidRPr="00C83063">
        <w:rPr>
          <w:rFonts w:ascii="Arial" w:hAnsi="Arial" w:cs="Arial"/>
          <w:sz w:val="24"/>
          <w:szCs w:val="24"/>
        </w:rPr>
        <w:t xml:space="preserve">approach </w:t>
      </w:r>
      <w:r w:rsidR="00A40DB1" w:rsidRPr="00C83063">
        <w:rPr>
          <w:rFonts w:ascii="Arial" w:hAnsi="Arial" w:cs="Arial"/>
          <w:sz w:val="24"/>
          <w:szCs w:val="24"/>
        </w:rPr>
        <w:t>to</w:t>
      </w:r>
      <w:r w:rsidR="00A40DB1">
        <w:rPr>
          <w:rFonts w:ascii="Arial" w:hAnsi="Arial" w:cs="Arial"/>
          <w:sz w:val="24"/>
          <w:szCs w:val="24"/>
        </w:rPr>
        <w:t xml:space="preserve"> </w:t>
      </w:r>
      <w:r w:rsidR="00A40DB1" w:rsidRPr="00C83063">
        <w:rPr>
          <w:rFonts w:ascii="Arial" w:hAnsi="Arial" w:cs="Arial"/>
          <w:sz w:val="24"/>
          <w:szCs w:val="24"/>
        </w:rPr>
        <w:t>lower</w:t>
      </w:r>
      <w:r w:rsidR="009F13FA" w:rsidRPr="00C83063">
        <w:rPr>
          <w:rFonts w:ascii="Arial" w:hAnsi="Arial" w:cs="Arial"/>
          <w:sz w:val="24"/>
          <w:szCs w:val="24"/>
        </w:rPr>
        <w:t xml:space="preserve"> rate setting</w:t>
      </w:r>
      <w:r w:rsidR="00D101DE" w:rsidRPr="00C83063">
        <w:rPr>
          <w:rFonts w:ascii="Arial" w:hAnsi="Arial" w:cs="Arial"/>
          <w:sz w:val="24"/>
          <w:szCs w:val="24"/>
        </w:rPr>
        <w:t>,</w:t>
      </w:r>
      <w:r w:rsidR="009F13FA" w:rsidRPr="00C83063">
        <w:rPr>
          <w:rFonts w:ascii="Arial" w:hAnsi="Arial" w:cs="Arial"/>
          <w:sz w:val="24"/>
          <w:szCs w:val="24"/>
        </w:rPr>
        <w:t xml:space="preserve"> </w:t>
      </w:r>
      <w:r w:rsidR="00ED4B11" w:rsidRPr="00C83063">
        <w:rPr>
          <w:rFonts w:ascii="Arial" w:hAnsi="Arial" w:cs="Arial"/>
          <w:sz w:val="24"/>
          <w:szCs w:val="24"/>
        </w:rPr>
        <w:t xml:space="preserve">along with the substantial increase for next year, recognises the need to </w:t>
      </w:r>
      <w:r w:rsidR="001723B1" w:rsidRPr="00C83063">
        <w:rPr>
          <w:rFonts w:ascii="Arial" w:hAnsi="Arial" w:cs="Arial"/>
          <w:sz w:val="24"/>
          <w:szCs w:val="24"/>
        </w:rPr>
        <w:t>increase incentives to reduce waste disposed of by way of landfill in line with Welsh Government objectives</w:t>
      </w:r>
      <w:r w:rsidR="00ED4B11" w:rsidRPr="00C83063">
        <w:rPr>
          <w:rFonts w:ascii="Arial" w:hAnsi="Arial" w:cs="Arial"/>
          <w:sz w:val="24"/>
          <w:szCs w:val="24"/>
        </w:rPr>
        <w:t xml:space="preserve">, while seeking to manage the risks of waste tourism and increased waste crime. </w:t>
      </w:r>
    </w:p>
    <w:p w14:paraId="16F89B2A" w14:textId="77777777" w:rsidR="003F31A3" w:rsidRPr="00C83063" w:rsidRDefault="003F31A3" w:rsidP="003F31A3">
      <w:pPr>
        <w:rPr>
          <w:rFonts w:ascii="Arial" w:hAnsi="Arial" w:cs="Arial"/>
          <w:sz w:val="24"/>
          <w:szCs w:val="24"/>
        </w:rPr>
      </w:pPr>
    </w:p>
    <w:p w14:paraId="14BB703F" w14:textId="0E0C78C7" w:rsidR="00D74DF0" w:rsidRPr="00C83063" w:rsidRDefault="00ED4B11" w:rsidP="003F31A3">
      <w:pPr>
        <w:rPr>
          <w:rFonts w:ascii="Arial" w:hAnsi="Arial" w:cs="Arial"/>
          <w:sz w:val="24"/>
          <w:szCs w:val="24"/>
        </w:rPr>
      </w:pPr>
      <w:r w:rsidRPr="00C83063">
        <w:rPr>
          <w:rFonts w:ascii="Arial" w:hAnsi="Arial" w:cs="Arial"/>
          <w:sz w:val="24"/>
          <w:szCs w:val="24"/>
        </w:rPr>
        <w:t xml:space="preserve">We will </w:t>
      </w:r>
      <w:r w:rsidR="00AC1F73" w:rsidRPr="00C83063">
        <w:rPr>
          <w:rFonts w:ascii="Arial" w:hAnsi="Arial" w:cs="Arial"/>
          <w:sz w:val="24"/>
          <w:szCs w:val="24"/>
        </w:rPr>
        <w:t>monitor the impact of this change</w:t>
      </w:r>
      <w:r w:rsidR="00D101DE" w:rsidRPr="00C83063">
        <w:rPr>
          <w:rFonts w:ascii="Arial" w:hAnsi="Arial" w:cs="Arial"/>
          <w:sz w:val="24"/>
          <w:szCs w:val="24"/>
        </w:rPr>
        <w:t>,</w:t>
      </w:r>
      <w:r w:rsidR="00AC1F73" w:rsidRPr="00C83063">
        <w:rPr>
          <w:rFonts w:ascii="Arial" w:hAnsi="Arial" w:cs="Arial"/>
          <w:sz w:val="24"/>
          <w:szCs w:val="24"/>
        </w:rPr>
        <w:t xml:space="preserve"> and </w:t>
      </w:r>
      <w:r w:rsidR="00D8639E" w:rsidRPr="00C83063">
        <w:rPr>
          <w:rFonts w:ascii="Arial" w:hAnsi="Arial" w:cs="Arial"/>
          <w:sz w:val="24"/>
          <w:szCs w:val="24"/>
        </w:rPr>
        <w:t xml:space="preserve">I am prepared to increase the rate further if evidence does not show </w:t>
      </w:r>
      <w:r w:rsidR="001723B1" w:rsidRPr="00C83063">
        <w:rPr>
          <w:rFonts w:ascii="Arial" w:hAnsi="Arial" w:cs="Arial"/>
          <w:sz w:val="24"/>
          <w:szCs w:val="24"/>
        </w:rPr>
        <w:t xml:space="preserve">a decrease in volumes of </w:t>
      </w:r>
      <w:r w:rsidR="00D8639E" w:rsidRPr="00C83063">
        <w:rPr>
          <w:rFonts w:ascii="Arial" w:hAnsi="Arial" w:cs="Arial"/>
          <w:sz w:val="24"/>
          <w:szCs w:val="24"/>
        </w:rPr>
        <w:t>lower</w:t>
      </w:r>
      <w:r w:rsidR="001723B1" w:rsidRPr="00C83063">
        <w:rPr>
          <w:rFonts w:ascii="Arial" w:hAnsi="Arial" w:cs="Arial"/>
          <w:sz w:val="24"/>
          <w:szCs w:val="24"/>
        </w:rPr>
        <w:t>-</w:t>
      </w:r>
      <w:r w:rsidR="00D8639E" w:rsidRPr="00C83063">
        <w:rPr>
          <w:rFonts w:ascii="Arial" w:hAnsi="Arial" w:cs="Arial"/>
          <w:sz w:val="24"/>
          <w:szCs w:val="24"/>
        </w:rPr>
        <w:t>rated waste</w:t>
      </w:r>
      <w:r w:rsidR="00C71F2B" w:rsidRPr="00C83063">
        <w:rPr>
          <w:rFonts w:ascii="Arial" w:hAnsi="Arial" w:cs="Arial"/>
          <w:sz w:val="24"/>
          <w:szCs w:val="24"/>
        </w:rPr>
        <w:t xml:space="preserve"> disposed of through l</w:t>
      </w:r>
      <w:r w:rsidR="00D8639E" w:rsidRPr="00C83063">
        <w:rPr>
          <w:rFonts w:ascii="Arial" w:hAnsi="Arial" w:cs="Arial"/>
          <w:sz w:val="24"/>
          <w:szCs w:val="24"/>
        </w:rPr>
        <w:t>andfil</w:t>
      </w:r>
      <w:r w:rsidR="00A741F6">
        <w:rPr>
          <w:rFonts w:ascii="Arial" w:hAnsi="Arial" w:cs="Arial"/>
          <w:sz w:val="24"/>
          <w:szCs w:val="24"/>
        </w:rPr>
        <w:t xml:space="preserve">l, as </w:t>
      </w:r>
      <w:r w:rsidR="00D8639E" w:rsidRPr="00C83063">
        <w:rPr>
          <w:rFonts w:ascii="Arial" w:hAnsi="Arial" w:cs="Arial"/>
          <w:sz w:val="24"/>
          <w:szCs w:val="24"/>
        </w:rPr>
        <w:t xml:space="preserve">needed to help meet our goal of becoming a </w:t>
      </w:r>
      <w:r w:rsidR="00D101DE" w:rsidRPr="00C83063">
        <w:rPr>
          <w:rFonts w:ascii="Arial" w:hAnsi="Arial" w:cs="Arial"/>
          <w:sz w:val="24"/>
          <w:szCs w:val="24"/>
        </w:rPr>
        <w:t>zero-waste</w:t>
      </w:r>
      <w:r w:rsidR="00D8639E" w:rsidRPr="00C83063">
        <w:rPr>
          <w:rFonts w:ascii="Arial" w:hAnsi="Arial" w:cs="Arial"/>
          <w:sz w:val="24"/>
          <w:szCs w:val="24"/>
        </w:rPr>
        <w:t xml:space="preserve"> nation by 2050.</w:t>
      </w:r>
    </w:p>
    <w:p w14:paraId="75CDDE66" w14:textId="0A19EDC8" w:rsidR="00D74DF0" w:rsidRDefault="00D74DF0" w:rsidP="003F31A3">
      <w:pPr>
        <w:rPr>
          <w:rFonts w:ascii="Arial" w:hAnsi="Arial" w:cs="Arial"/>
          <w:sz w:val="24"/>
          <w:szCs w:val="24"/>
        </w:rPr>
      </w:pPr>
      <w:r w:rsidRPr="00C83063">
        <w:rPr>
          <w:rFonts w:ascii="Arial" w:hAnsi="Arial" w:cs="Arial"/>
          <w:sz w:val="24"/>
          <w:szCs w:val="24"/>
        </w:rPr>
        <w:t>The unauthorised rate will</w:t>
      </w:r>
      <w:r w:rsidR="00A741F6">
        <w:rPr>
          <w:rFonts w:ascii="Arial" w:hAnsi="Arial" w:cs="Arial"/>
          <w:sz w:val="24"/>
          <w:szCs w:val="24"/>
        </w:rPr>
        <w:t xml:space="preserve"> </w:t>
      </w:r>
      <w:r w:rsidR="00C71F2B" w:rsidRPr="00C83063">
        <w:rPr>
          <w:rFonts w:ascii="Arial" w:hAnsi="Arial" w:cs="Arial"/>
          <w:sz w:val="24"/>
          <w:szCs w:val="24"/>
        </w:rPr>
        <w:t xml:space="preserve">remain </w:t>
      </w:r>
      <w:r w:rsidRPr="00C83063">
        <w:rPr>
          <w:rFonts w:ascii="Arial" w:hAnsi="Arial" w:cs="Arial"/>
          <w:sz w:val="24"/>
          <w:szCs w:val="24"/>
        </w:rPr>
        <w:t>at 150% of the standard rate.</w:t>
      </w:r>
    </w:p>
    <w:p w14:paraId="7F6BE88A" w14:textId="77777777" w:rsidR="003F31A3" w:rsidRPr="00C83063" w:rsidRDefault="003F31A3" w:rsidP="003F31A3">
      <w:pPr>
        <w:rPr>
          <w:rFonts w:ascii="Arial" w:hAnsi="Arial" w:cs="Arial"/>
          <w:sz w:val="24"/>
          <w:szCs w:val="24"/>
        </w:rPr>
      </w:pPr>
    </w:p>
    <w:p w14:paraId="75D9F420" w14:textId="2C660D5F" w:rsidR="00D74DF0" w:rsidRDefault="00D74DF0" w:rsidP="003F31A3">
      <w:pPr>
        <w:rPr>
          <w:rFonts w:ascii="Arial" w:hAnsi="Arial" w:cs="Arial"/>
          <w:sz w:val="24"/>
          <w:szCs w:val="24"/>
          <w:lang w:val="en" w:eastAsia="en-GB"/>
        </w:rPr>
      </w:pPr>
      <w:r w:rsidRPr="00C83063">
        <w:rPr>
          <w:rFonts w:ascii="Arial" w:hAnsi="Arial" w:cs="Arial"/>
          <w:sz w:val="24"/>
          <w:szCs w:val="24"/>
          <w:lang w:val="en" w:eastAsia="en-GB"/>
        </w:rPr>
        <w:t xml:space="preserve">The Regulations required to put into effect these changes (set out in Annex 2) will be laid in the Senedd early </w:t>
      </w:r>
      <w:r w:rsidR="006D77AB" w:rsidRPr="00C83063">
        <w:rPr>
          <w:rFonts w:ascii="Arial" w:hAnsi="Arial" w:cs="Arial"/>
          <w:sz w:val="24"/>
          <w:szCs w:val="24"/>
          <w:lang w:val="en" w:eastAsia="en-GB"/>
        </w:rPr>
        <w:t xml:space="preserve">in </w:t>
      </w:r>
      <w:r w:rsidRPr="00C83063">
        <w:rPr>
          <w:rFonts w:ascii="Arial" w:hAnsi="Arial" w:cs="Arial"/>
          <w:sz w:val="24"/>
          <w:szCs w:val="24"/>
          <w:lang w:val="en" w:eastAsia="en-GB"/>
        </w:rPr>
        <w:t>2025.</w:t>
      </w:r>
    </w:p>
    <w:p w14:paraId="40DB1911" w14:textId="77777777" w:rsidR="003F31A3" w:rsidRPr="00C83063" w:rsidRDefault="003F31A3" w:rsidP="003F31A3">
      <w:pPr>
        <w:rPr>
          <w:rFonts w:ascii="Arial" w:hAnsi="Arial" w:cs="Arial"/>
          <w:sz w:val="24"/>
          <w:szCs w:val="24"/>
          <w:lang w:val="en" w:eastAsia="en-GB"/>
        </w:rPr>
      </w:pPr>
    </w:p>
    <w:p w14:paraId="5E72A29F" w14:textId="1FD8CD25" w:rsidR="000D48A2" w:rsidRDefault="000D48A2" w:rsidP="003F31A3">
      <w:pPr>
        <w:rPr>
          <w:rFonts w:ascii="Arial" w:hAnsi="Arial" w:cs="Arial"/>
          <w:b/>
          <w:bCs/>
          <w:sz w:val="24"/>
          <w:szCs w:val="24"/>
          <w:u w:val="single"/>
        </w:rPr>
      </w:pPr>
      <w:r w:rsidRPr="00C83063">
        <w:rPr>
          <w:rFonts w:ascii="Arial" w:hAnsi="Arial" w:cs="Arial"/>
          <w:b/>
          <w:bCs/>
          <w:sz w:val="24"/>
          <w:szCs w:val="24"/>
          <w:u w:val="single"/>
        </w:rPr>
        <w:t>Tax Policy Report</w:t>
      </w:r>
    </w:p>
    <w:p w14:paraId="0B6ACF78" w14:textId="77777777" w:rsidR="003F31A3" w:rsidRPr="00C83063" w:rsidRDefault="003F31A3" w:rsidP="003F31A3">
      <w:pPr>
        <w:rPr>
          <w:rFonts w:ascii="Arial" w:hAnsi="Arial" w:cs="Arial"/>
          <w:b/>
          <w:bCs/>
          <w:sz w:val="24"/>
          <w:szCs w:val="24"/>
          <w:u w:val="single"/>
        </w:rPr>
      </w:pPr>
    </w:p>
    <w:p w14:paraId="40D178E9" w14:textId="08D7E5E9" w:rsidR="00282441" w:rsidRPr="00B86DBC" w:rsidRDefault="006E7019" w:rsidP="003F31A3">
      <w:pPr>
        <w:rPr>
          <w:rFonts w:ascii="Arial" w:hAnsi="Arial" w:cs="Arial"/>
          <w:sz w:val="24"/>
          <w:szCs w:val="24"/>
        </w:rPr>
      </w:pPr>
      <w:r w:rsidRPr="00B86DBC">
        <w:rPr>
          <w:rFonts w:ascii="Arial" w:hAnsi="Arial" w:cs="Arial"/>
          <w:sz w:val="24"/>
          <w:szCs w:val="24"/>
        </w:rPr>
        <w:t xml:space="preserve">The </w:t>
      </w:r>
      <w:r w:rsidR="00B00D0E" w:rsidRPr="00B86DBC">
        <w:rPr>
          <w:rFonts w:ascii="Arial" w:hAnsi="Arial" w:cs="Arial"/>
          <w:sz w:val="24"/>
          <w:szCs w:val="24"/>
        </w:rPr>
        <w:t xml:space="preserve">fourth </w:t>
      </w:r>
      <w:r w:rsidR="003322E8" w:rsidRPr="00B86DBC">
        <w:rPr>
          <w:rFonts w:ascii="Arial" w:hAnsi="Arial" w:cs="Arial"/>
          <w:sz w:val="24"/>
          <w:szCs w:val="24"/>
        </w:rPr>
        <w:t>annual</w:t>
      </w:r>
      <w:r w:rsidR="008114E8" w:rsidRPr="00B86DBC">
        <w:rPr>
          <w:rFonts w:ascii="Arial" w:hAnsi="Arial" w:cs="Arial"/>
          <w:sz w:val="24"/>
          <w:szCs w:val="24"/>
        </w:rPr>
        <w:t xml:space="preserve"> </w:t>
      </w:r>
      <w:hyperlink r:id="rId14" w:history="1">
        <w:r w:rsidR="00BB774E" w:rsidRPr="00B86DBC">
          <w:rPr>
            <w:rStyle w:val="Hyperlink"/>
            <w:rFonts w:ascii="Arial" w:hAnsi="Arial" w:cs="Arial"/>
            <w:sz w:val="24"/>
            <w:szCs w:val="24"/>
          </w:rPr>
          <w:t>Tax Policy Report</w:t>
        </w:r>
      </w:hyperlink>
      <w:r w:rsidRPr="00B86DBC">
        <w:rPr>
          <w:rFonts w:ascii="Arial" w:hAnsi="Arial" w:cs="Arial"/>
          <w:sz w:val="24"/>
          <w:szCs w:val="24"/>
        </w:rPr>
        <w:t xml:space="preserve"> is also published today</w:t>
      </w:r>
      <w:r w:rsidR="00CC1122" w:rsidRPr="00B86DBC">
        <w:rPr>
          <w:rFonts w:ascii="Arial" w:hAnsi="Arial" w:cs="Arial"/>
          <w:sz w:val="24"/>
          <w:szCs w:val="24"/>
        </w:rPr>
        <w:t xml:space="preserve">. </w:t>
      </w:r>
      <w:r w:rsidRPr="00B86DBC">
        <w:rPr>
          <w:rFonts w:ascii="Arial" w:hAnsi="Arial" w:cs="Arial"/>
          <w:sz w:val="24"/>
          <w:szCs w:val="24"/>
        </w:rPr>
        <w:t xml:space="preserve">It </w:t>
      </w:r>
      <w:r w:rsidR="00CC1122" w:rsidRPr="00B86DBC">
        <w:rPr>
          <w:rFonts w:ascii="Arial" w:hAnsi="Arial" w:cs="Arial"/>
          <w:sz w:val="24"/>
          <w:szCs w:val="24"/>
        </w:rPr>
        <w:t>reports</w:t>
      </w:r>
      <w:r w:rsidR="006776DF" w:rsidRPr="00B86DBC">
        <w:rPr>
          <w:rFonts w:ascii="Arial" w:hAnsi="Arial" w:cs="Arial"/>
          <w:sz w:val="24"/>
          <w:szCs w:val="24"/>
        </w:rPr>
        <w:t xml:space="preserve"> </w:t>
      </w:r>
      <w:r w:rsidR="00483D2B" w:rsidRPr="00B86DBC">
        <w:rPr>
          <w:rFonts w:ascii="Arial" w:hAnsi="Arial" w:cs="Arial"/>
          <w:sz w:val="24"/>
          <w:szCs w:val="24"/>
        </w:rPr>
        <w:t xml:space="preserve">against the </w:t>
      </w:r>
      <w:r w:rsidR="00CC1122" w:rsidRPr="00B86DBC">
        <w:rPr>
          <w:rFonts w:ascii="Arial" w:hAnsi="Arial" w:cs="Arial"/>
          <w:sz w:val="24"/>
          <w:szCs w:val="24"/>
        </w:rPr>
        <w:t xml:space="preserve">Welsh Government’s Tax Policy Framework and </w:t>
      </w:r>
      <w:r w:rsidRPr="00B86DBC">
        <w:rPr>
          <w:rFonts w:ascii="Arial" w:hAnsi="Arial" w:cs="Arial"/>
          <w:sz w:val="24"/>
          <w:szCs w:val="24"/>
        </w:rPr>
        <w:t xml:space="preserve">Tax </w:t>
      </w:r>
      <w:r w:rsidR="00483D2B" w:rsidRPr="00B86DBC">
        <w:rPr>
          <w:rFonts w:ascii="Arial" w:hAnsi="Arial" w:cs="Arial"/>
          <w:sz w:val="24"/>
          <w:szCs w:val="24"/>
        </w:rPr>
        <w:t>Work Plan</w:t>
      </w:r>
      <w:r w:rsidR="00C71F2B" w:rsidRPr="00B86DBC">
        <w:rPr>
          <w:rFonts w:ascii="Arial" w:hAnsi="Arial" w:cs="Arial"/>
          <w:sz w:val="24"/>
          <w:szCs w:val="24"/>
        </w:rPr>
        <w:t xml:space="preserve"> 2021-26</w:t>
      </w:r>
      <w:r w:rsidR="00483D2B" w:rsidRPr="00B86DBC">
        <w:rPr>
          <w:rFonts w:ascii="Arial" w:hAnsi="Arial" w:cs="Arial"/>
          <w:sz w:val="24"/>
          <w:szCs w:val="24"/>
        </w:rPr>
        <w:t xml:space="preserve">. </w:t>
      </w:r>
      <w:r w:rsidRPr="00B86DBC">
        <w:rPr>
          <w:rFonts w:ascii="Arial" w:hAnsi="Arial" w:cs="Arial"/>
          <w:sz w:val="24"/>
          <w:szCs w:val="24"/>
        </w:rPr>
        <w:t xml:space="preserve">It </w:t>
      </w:r>
      <w:r w:rsidR="009449AE" w:rsidRPr="00B86DBC">
        <w:rPr>
          <w:rFonts w:ascii="Arial" w:hAnsi="Arial" w:cs="Arial"/>
          <w:sz w:val="24"/>
          <w:szCs w:val="24"/>
        </w:rPr>
        <w:t>sets out</w:t>
      </w:r>
      <w:r w:rsidR="00483D2B" w:rsidRPr="00B86DBC">
        <w:rPr>
          <w:rFonts w:ascii="Arial" w:hAnsi="Arial" w:cs="Arial"/>
          <w:sz w:val="24"/>
          <w:szCs w:val="24"/>
        </w:rPr>
        <w:t xml:space="preserve"> progress on </w:t>
      </w:r>
      <w:r w:rsidRPr="00B86DBC">
        <w:rPr>
          <w:rFonts w:ascii="Arial" w:hAnsi="Arial" w:cs="Arial"/>
          <w:sz w:val="24"/>
          <w:szCs w:val="24"/>
        </w:rPr>
        <w:t xml:space="preserve">a </w:t>
      </w:r>
      <w:r w:rsidR="00483D2B" w:rsidRPr="00B86DBC">
        <w:rPr>
          <w:rFonts w:ascii="Arial" w:hAnsi="Arial" w:cs="Arial"/>
          <w:sz w:val="24"/>
          <w:szCs w:val="24"/>
        </w:rPr>
        <w:t xml:space="preserve">range of </w:t>
      </w:r>
      <w:r w:rsidR="009449AE" w:rsidRPr="00B86DBC">
        <w:rPr>
          <w:rFonts w:ascii="Arial" w:hAnsi="Arial" w:cs="Arial"/>
          <w:sz w:val="24"/>
          <w:szCs w:val="24"/>
        </w:rPr>
        <w:t>activities</w:t>
      </w:r>
      <w:r w:rsidRPr="00B86DBC">
        <w:rPr>
          <w:rFonts w:ascii="Arial" w:hAnsi="Arial" w:cs="Arial"/>
          <w:sz w:val="24"/>
          <w:szCs w:val="24"/>
        </w:rPr>
        <w:t xml:space="preserve">, including </w:t>
      </w:r>
      <w:r w:rsidR="00483D2B" w:rsidRPr="00B86DBC">
        <w:rPr>
          <w:rFonts w:ascii="Arial" w:hAnsi="Arial" w:cs="Arial"/>
          <w:sz w:val="24"/>
          <w:szCs w:val="24"/>
        </w:rPr>
        <w:t>taking forward our tax</w:t>
      </w:r>
      <w:r w:rsidR="0057240F" w:rsidRPr="00B86DBC">
        <w:rPr>
          <w:rFonts w:ascii="Arial" w:hAnsi="Arial" w:cs="Arial"/>
          <w:sz w:val="24"/>
          <w:szCs w:val="24"/>
        </w:rPr>
        <w:t>-</w:t>
      </w:r>
      <w:r w:rsidR="00483D2B" w:rsidRPr="00B86DBC">
        <w:rPr>
          <w:rFonts w:ascii="Arial" w:hAnsi="Arial" w:cs="Arial"/>
          <w:sz w:val="24"/>
          <w:szCs w:val="24"/>
        </w:rPr>
        <w:t xml:space="preserve">related Programme for Government commitments </w:t>
      </w:r>
      <w:r w:rsidR="00D8639E" w:rsidRPr="00B86DBC">
        <w:rPr>
          <w:rFonts w:ascii="Arial" w:hAnsi="Arial" w:cs="Arial"/>
          <w:sz w:val="24"/>
          <w:szCs w:val="24"/>
        </w:rPr>
        <w:t xml:space="preserve">on </w:t>
      </w:r>
      <w:r w:rsidR="00483D2B" w:rsidRPr="00B86DBC">
        <w:rPr>
          <w:rFonts w:ascii="Arial" w:hAnsi="Arial" w:cs="Arial"/>
          <w:sz w:val="24"/>
          <w:szCs w:val="24"/>
        </w:rPr>
        <w:t xml:space="preserve">local government finance reform, and </w:t>
      </w:r>
      <w:r w:rsidRPr="00B86DBC">
        <w:rPr>
          <w:rFonts w:ascii="Arial" w:hAnsi="Arial" w:cs="Arial"/>
          <w:sz w:val="24"/>
          <w:szCs w:val="24"/>
        </w:rPr>
        <w:t>the visitor levy Bill.</w:t>
      </w:r>
    </w:p>
    <w:p w14:paraId="44381139" w14:textId="77777777" w:rsidR="003F31A3" w:rsidRDefault="003F31A3" w:rsidP="003F31A3">
      <w:pPr>
        <w:rPr>
          <w:rFonts w:ascii="Arial" w:hAnsi="Arial" w:cs="Arial"/>
          <w:sz w:val="24"/>
          <w:szCs w:val="24"/>
        </w:rPr>
      </w:pPr>
    </w:p>
    <w:p w14:paraId="2ED2956D" w14:textId="55640ED3" w:rsidR="006E7019" w:rsidRPr="003F31A3" w:rsidRDefault="006E7019" w:rsidP="003F31A3">
      <w:pPr>
        <w:rPr>
          <w:rFonts w:ascii="Arial" w:hAnsi="Arial" w:cs="Arial"/>
          <w:sz w:val="24"/>
          <w:szCs w:val="24"/>
        </w:rPr>
      </w:pPr>
      <w:r>
        <w:rPr>
          <w:rFonts w:ascii="Arial" w:hAnsi="Arial" w:cs="Arial"/>
          <w:sz w:val="24"/>
          <w:szCs w:val="24"/>
        </w:rPr>
        <w:br w:type="page"/>
      </w:r>
    </w:p>
    <w:p w14:paraId="066180FA" w14:textId="3B3BDE71" w:rsidR="008A67FA" w:rsidRPr="00FE67B0" w:rsidRDefault="008A67FA" w:rsidP="002A7FCB">
      <w:pPr>
        <w:pStyle w:val="Heading1"/>
        <w:spacing w:before="240" w:after="240" w:line="259" w:lineRule="auto"/>
        <w:rPr>
          <w:rFonts w:eastAsia="Calibri" w:cs="Arial"/>
          <w:szCs w:val="24"/>
        </w:rPr>
      </w:pPr>
      <w:r w:rsidRPr="00FE67B0">
        <w:rPr>
          <w:rFonts w:eastAsia="Calibri" w:cs="Arial"/>
          <w:szCs w:val="24"/>
        </w:rPr>
        <w:lastRenderedPageBreak/>
        <w:t xml:space="preserve">Annex </w:t>
      </w:r>
      <w:r w:rsidR="00E64381" w:rsidRPr="00FE67B0">
        <w:rPr>
          <w:rFonts w:eastAsia="Calibri" w:cs="Arial"/>
          <w:szCs w:val="24"/>
        </w:rPr>
        <w:t>1</w:t>
      </w:r>
      <w:r w:rsidR="00C156BF" w:rsidRPr="00FE67B0">
        <w:rPr>
          <w:rFonts w:eastAsia="Calibri" w:cs="Arial"/>
          <w:szCs w:val="24"/>
        </w:rPr>
        <w:t>:</w:t>
      </w:r>
      <w:r w:rsidRPr="00FE67B0">
        <w:rPr>
          <w:rFonts w:eastAsia="Calibri" w:cs="Arial"/>
          <w:szCs w:val="24"/>
        </w:rPr>
        <w:t xml:space="preserve"> </w:t>
      </w:r>
    </w:p>
    <w:p w14:paraId="5A84A8FA" w14:textId="77777777" w:rsidR="00D74DF0" w:rsidRPr="00FE67B0" w:rsidRDefault="00D74DF0" w:rsidP="00D74DF0">
      <w:pPr>
        <w:rPr>
          <w:rFonts w:ascii="Arial" w:hAnsi="Arial" w:cs="Arial"/>
          <w:b/>
          <w:sz w:val="24"/>
          <w:szCs w:val="24"/>
        </w:rPr>
      </w:pPr>
    </w:p>
    <w:p w14:paraId="2E535810" w14:textId="396F8B82" w:rsidR="00D74DF0" w:rsidRPr="00C83063" w:rsidRDefault="006E2A93" w:rsidP="00116281">
      <w:pPr>
        <w:pStyle w:val="Heading3"/>
        <w:rPr>
          <w:sz w:val="24"/>
          <w:szCs w:val="24"/>
        </w:rPr>
      </w:pPr>
      <w:r w:rsidRPr="00C83063">
        <w:rPr>
          <w:sz w:val="24"/>
          <w:szCs w:val="24"/>
        </w:rPr>
        <w:t xml:space="preserve">Table 1: </w:t>
      </w:r>
      <w:r w:rsidR="00D259E9" w:rsidRPr="00C83063">
        <w:rPr>
          <w:sz w:val="24"/>
          <w:szCs w:val="24"/>
        </w:rPr>
        <w:t>L</w:t>
      </w:r>
      <w:r w:rsidR="00F374D5" w:rsidRPr="00C83063">
        <w:rPr>
          <w:sz w:val="24"/>
          <w:szCs w:val="24"/>
        </w:rPr>
        <w:t xml:space="preserve">and </w:t>
      </w:r>
      <w:r w:rsidR="00D259E9" w:rsidRPr="00C83063">
        <w:rPr>
          <w:sz w:val="24"/>
          <w:szCs w:val="24"/>
        </w:rPr>
        <w:t>T</w:t>
      </w:r>
      <w:r w:rsidR="00F374D5" w:rsidRPr="00C83063">
        <w:rPr>
          <w:sz w:val="24"/>
          <w:szCs w:val="24"/>
        </w:rPr>
        <w:t xml:space="preserve">ransaction </w:t>
      </w:r>
      <w:r w:rsidR="00D259E9" w:rsidRPr="00C83063">
        <w:rPr>
          <w:sz w:val="24"/>
          <w:szCs w:val="24"/>
        </w:rPr>
        <w:t>T</w:t>
      </w:r>
      <w:r w:rsidR="00F374D5" w:rsidRPr="00C83063">
        <w:rPr>
          <w:sz w:val="24"/>
          <w:szCs w:val="24"/>
        </w:rPr>
        <w:t>ax</w:t>
      </w:r>
      <w:r w:rsidR="00D259E9" w:rsidRPr="00C83063">
        <w:rPr>
          <w:sz w:val="24"/>
          <w:szCs w:val="24"/>
        </w:rPr>
        <w:t xml:space="preserve"> residential higher rates (from 11 December 2024)</w:t>
      </w:r>
    </w:p>
    <w:tbl>
      <w:tblPr>
        <w:tblW w:w="8221" w:type="dxa"/>
        <w:tblInd w:w="426" w:type="dxa"/>
        <w:tblCellMar>
          <w:left w:w="0" w:type="dxa"/>
          <w:right w:w="0" w:type="dxa"/>
        </w:tblCellMar>
        <w:tblLook w:val="04A0" w:firstRow="1" w:lastRow="0" w:firstColumn="1" w:lastColumn="0" w:noHBand="0" w:noVBand="1"/>
      </w:tblPr>
      <w:tblGrid>
        <w:gridCol w:w="5774"/>
        <w:gridCol w:w="2447"/>
      </w:tblGrid>
      <w:tr w:rsidR="00D74DF0" w:rsidRPr="00FE67B0" w14:paraId="3FFA7D47" w14:textId="77777777" w:rsidTr="006E2A93">
        <w:trPr>
          <w:trHeight w:val="300"/>
        </w:trPr>
        <w:tc>
          <w:tcPr>
            <w:tcW w:w="5774" w:type="dxa"/>
            <w:noWrap/>
            <w:tcMar>
              <w:top w:w="15" w:type="dxa"/>
              <w:left w:w="15" w:type="dxa"/>
              <w:bottom w:w="0" w:type="dxa"/>
              <w:right w:w="15" w:type="dxa"/>
            </w:tcMar>
            <w:vAlign w:val="bottom"/>
            <w:hideMark/>
          </w:tcPr>
          <w:p w14:paraId="4E661E1A" w14:textId="77777777" w:rsidR="00D74DF0" w:rsidRPr="00FE67B0" w:rsidRDefault="00D74DF0" w:rsidP="00D30EBE">
            <w:pPr>
              <w:rPr>
                <w:rFonts w:ascii="Arial" w:hAnsi="Arial" w:cs="Arial"/>
                <w:sz w:val="24"/>
                <w:szCs w:val="24"/>
                <w:lang w:eastAsia="en-GB"/>
              </w:rPr>
            </w:pPr>
          </w:p>
        </w:tc>
        <w:tc>
          <w:tcPr>
            <w:tcW w:w="2447" w:type="dxa"/>
            <w:noWrap/>
            <w:tcMar>
              <w:top w:w="15" w:type="dxa"/>
              <w:left w:w="15" w:type="dxa"/>
              <w:bottom w:w="0" w:type="dxa"/>
              <w:right w:w="15" w:type="dxa"/>
            </w:tcMar>
            <w:vAlign w:val="bottom"/>
            <w:hideMark/>
          </w:tcPr>
          <w:p w14:paraId="3E9D9F71" w14:textId="77777777" w:rsidR="00D74DF0" w:rsidRPr="00FE67B0" w:rsidRDefault="00D74DF0" w:rsidP="00D30EBE">
            <w:pPr>
              <w:rPr>
                <w:rFonts w:ascii="Arial" w:hAnsi="Arial" w:cs="Arial"/>
                <w:sz w:val="24"/>
                <w:szCs w:val="24"/>
                <w:lang w:eastAsia="en-GB"/>
              </w:rPr>
            </w:pPr>
          </w:p>
        </w:tc>
      </w:tr>
      <w:tr w:rsidR="00D74DF0" w:rsidRPr="00FE67B0" w14:paraId="5E4D0E35" w14:textId="77777777" w:rsidTr="006E2A93">
        <w:trPr>
          <w:trHeight w:val="410"/>
        </w:trPr>
        <w:tc>
          <w:tcPr>
            <w:tcW w:w="8221" w:type="dxa"/>
            <w:gridSpan w:val="2"/>
            <w:tcBorders>
              <w:top w:val="single" w:sz="8"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hideMark/>
          </w:tcPr>
          <w:p w14:paraId="07A4F4B9" w14:textId="77777777" w:rsidR="00D74DF0" w:rsidRPr="00FE67B0" w:rsidRDefault="00D74DF0" w:rsidP="00D30EBE">
            <w:pPr>
              <w:jc w:val="center"/>
              <w:rPr>
                <w:rFonts w:ascii="Arial" w:hAnsi="Arial" w:cs="Arial"/>
                <w:b/>
                <w:bCs/>
                <w:sz w:val="24"/>
                <w:szCs w:val="24"/>
                <w:lang w:eastAsia="en-GB"/>
              </w:rPr>
            </w:pPr>
            <w:r w:rsidRPr="00FE67B0">
              <w:rPr>
                <w:rFonts w:ascii="Arial" w:hAnsi="Arial" w:cs="Arial"/>
                <w:b/>
                <w:bCs/>
                <w:sz w:val="24"/>
                <w:szCs w:val="24"/>
                <w:lang w:eastAsia="en-GB"/>
              </w:rPr>
              <w:t>Higher Residential Rates from 11 December 2024</w:t>
            </w:r>
          </w:p>
        </w:tc>
      </w:tr>
      <w:tr w:rsidR="00D74DF0" w:rsidRPr="00FE67B0" w14:paraId="19999378" w14:textId="77777777" w:rsidTr="006E2A93">
        <w:trPr>
          <w:trHeight w:val="549"/>
        </w:trPr>
        <w:tc>
          <w:tcPr>
            <w:tcW w:w="5774" w:type="dxa"/>
            <w:tcBorders>
              <w:top w:val="nil"/>
              <w:left w:val="single" w:sz="8" w:space="0" w:color="auto"/>
              <w:bottom w:val="single" w:sz="4" w:space="0" w:color="auto"/>
              <w:right w:val="single" w:sz="4" w:space="0" w:color="auto"/>
            </w:tcBorders>
            <w:shd w:val="clear" w:color="auto" w:fill="FFFFFF"/>
            <w:tcMar>
              <w:top w:w="15" w:type="dxa"/>
              <w:left w:w="15" w:type="dxa"/>
              <w:bottom w:w="0" w:type="dxa"/>
              <w:right w:w="15" w:type="dxa"/>
            </w:tcMar>
            <w:hideMark/>
          </w:tcPr>
          <w:p w14:paraId="4D26FF83" w14:textId="77777777" w:rsidR="00D74DF0" w:rsidRPr="00FE67B0" w:rsidRDefault="00D74DF0" w:rsidP="00D30EBE">
            <w:pPr>
              <w:jc w:val="center"/>
              <w:rPr>
                <w:rFonts w:ascii="Arial" w:hAnsi="Arial" w:cs="Arial"/>
                <w:b/>
                <w:bCs/>
                <w:sz w:val="24"/>
                <w:szCs w:val="24"/>
                <w:lang w:eastAsia="en-GB"/>
              </w:rPr>
            </w:pPr>
          </w:p>
          <w:p w14:paraId="6C2532E2" w14:textId="77777777" w:rsidR="00D74DF0" w:rsidRPr="00FE67B0" w:rsidRDefault="00D74DF0" w:rsidP="00D30EBE">
            <w:pPr>
              <w:jc w:val="center"/>
              <w:rPr>
                <w:rFonts w:ascii="Arial" w:hAnsi="Arial" w:cs="Arial"/>
                <w:b/>
                <w:bCs/>
                <w:sz w:val="24"/>
                <w:szCs w:val="24"/>
                <w:lang w:eastAsia="en-GB"/>
              </w:rPr>
            </w:pPr>
            <w:r w:rsidRPr="00FE67B0">
              <w:rPr>
                <w:rFonts w:ascii="Arial" w:hAnsi="Arial" w:cs="Arial"/>
                <w:b/>
                <w:bCs/>
                <w:sz w:val="24"/>
                <w:szCs w:val="24"/>
                <w:lang w:eastAsia="en-GB"/>
              </w:rPr>
              <w:t>Band</w:t>
            </w:r>
          </w:p>
        </w:tc>
        <w:tc>
          <w:tcPr>
            <w:tcW w:w="2447"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A1DF053" w14:textId="77777777" w:rsidR="00D74DF0" w:rsidRPr="00FE67B0" w:rsidRDefault="00D74DF0" w:rsidP="00D30EBE">
            <w:pPr>
              <w:jc w:val="center"/>
              <w:rPr>
                <w:rFonts w:ascii="Arial" w:hAnsi="Arial" w:cs="Arial"/>
                <w:b/>
                <w:bCs/>
                <w:sz w:val="24"/>
                <w:szCs w:val="24"/>
                <w:lang w:eastAsia="en-GB"/>
              </w:rPr>
            </w:pPr>
            <w:r w:rsidRPr="00FE67B0">
              <w:rPr>
                <w:rFonts w:ascii="Arial" w:hAnsi="Arial" w:cs="Arial"/>
                <w:b/>
                <w:bCs/>
                <w:sz w:val="24"/>
                <w:szCs w:val="24"/>
                <w:lang w:eastAsia="en-GB"/>
              </w:rPr>
              <w:t>Rate</w:t>
            </w:r>
          </w:p>
        </w:tc>
      </w:tr>
      <w:tr w:rsidR="00D74DF0" w:rsidRPr="00FE67B0" w14:paraId="132F9281" w14:textId="77777777" w:rsidTr="006E2A93">
        <w:trPr>
          <w:trHeight w:val="709"/>
        </w:trPr>
        <w:tc>
          <w:tcPr>
            <w:tcW w:w="5774"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33BB2AFA" w14:textId="77777777" w:rsidR="00D74DF0" w:rsidRPr="00FE67B0" w:rsidRDefault="00D74DF0" w:rsidP="00D30EBE">
            <w:pPr>
              <w:rPr>
                <w:rFonts w:ascii="Arial" w:hAnsi="Arial" w:cs="Arial"/>
                <w:sz w:val="24"/>
                <w:szCs w:val="24"/>
                <w:lang w:eastAsia="en-GB"/>
              </w:rPr>
            </w:pPr>
            <w:r w:rsidRPr="00FE67B0">
              <w:rPr>
                <w:rFonts w:ascii="Arial" w:hAnsi="Arial" w:cs="Arial"/>
                <w:sz w:val="24"/>
                <w:szCs w:val="24"/>
                <w:lang w:eastAsia="en-GB"/>
              </w:rPr>
              <w:t>The portion up to and including £180,000</w:t>
            </w:r>
          </w:p>
        </w:tc>
        <w:tc>
          <w:tcPr>
            <w:tcW w:w="2447"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E6C7E21" w14:textId="77777777" w:rsidR="00D74DF0" w:rsidRPr="00FE67B0" w:rsidRDefault="00D74DF0" w:rsidP="00D30EBE">
            <w:pPr>
              <w:jc w:val="center"/>
              <w:rPr>
                <w:rFonts w:ascii="Arial" w:hAnsi="Arial" w:cs="Arial"/>
                <w:sz w:val="24"/>
                <w:szCs w:val="24"/>
                <w:lang w:eastAsia="en-GB"/>
              </w:rPr>
            </w:pPr>
            <w:r w:rsidRPr="00FE67B0">
              <w:rPr>
                <w:rFonts w:ascii="Arial" w:hAnsi="Arial" w:cs="Arial"/>
                <w:sz w:val="24"/>
                <w:szCs w:val="24"/>
                <w:lang w:eastAsia="en-GB"/>
              </w:rPr>
              <w:t>5%</w:t>
            </w:r>
          </w:p>
        </w:tc>
      </w:tr>
      <w:tr w:rsidR="00D74DF0" w:rsidRPr="00FE67B0" w14:paraId="1F738691" w14:textId="77777777" w:rsidTr="006E2A93">
        <w:trPr>
          <w:trHeight w:val="733"/>
        </w:trPr>
        <w:tc>
          <w:tcPr>
            <w:tcW w:w="5774"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23142287" w14:textId="77777777" w:rsidR="00D74DF0" w:rsidRPr="00FE67B0" w:rsidRDefault="00D74DF0" w:rsidP="00D30EBE">
            <w:pPr>
              <w:rPr>
                <w:rFonts w:ascii="Arial" w:hAnsi="Arial" w:cs="Arial"/>
                <w:sz w:val="24"/>
                <w:szCs w:val="24"/>
                <w:lang w:eastAsia="en-GB"/>
              </w:rPr>
            </w:pPr>
            <w:r w:rsidRPr="00FE67B0">
              <w:rPr>
                <w:rFonts w:ascii="Arial" w:hAnsi="Arial" w:cs="Arial"/>
                <w:sz w:val="24"/>
                <w:szCs w:val="24"/>
                <w:lang w:eastAsia="en-GB"/>
              </w:rPr>
              <w:t>The portion over £180,000 up to and including £250,000</w:t>
            </w:r>
          </w:p>
        </w:tc>
        <w:tc>
          <w:tcPr>
            <w:tcW w:w="2447"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567D4958" w14:textId="77777777" w:rsidR="00D74DF0" w:rsidRPr="00FE67B0" w:rsidRDefault="00D74DF0" w:rsidP="00D30EBE">
            <w:pPr>
              <w:jc w:val="center"/>
              <w:rPr>
                <w:rFonts w:ascii="Arial" w:hAnsi="Arial" w:cs="Arial"/>
                <w:sz w:val="24"/>
                <w:szCs w:val="24"/>
                <w:lang w:eastAsia="en-GB"/>
              </w:rPr>
            </w:pPr>
            <w:r w:rsidRPr="00FE67B0">
              <w:rPr>
                <w:rFonts w:ascii="Arial" w:hAnsi="Arial" w:cs="Arial"/>
                <w:sz w:val="24"/>
                <w:szCs w:val="24"/>
                <w:lang w:eastAsia="en-GB"/>
              </w:rPr>
              <w:t>8.50%</w:t>
            </w:r>
          </w:p>
        </w:tc>
      </w:tr>
      <w:tr w:rsidR="00D74DF0" w:rsidRPr="00FE67B0" w14:paraId="38D34757" w14:textId="77777777" w:rsidTr="006E2A93">
        <w:trPr>
          <w:trHeight w:val="756"/>
        </w:trPr>
        <w:tc>
          <w:tcPr>
            <w:tcW w:w="5774"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2DFE3B19" w14:textId="77777777" w:rsidR="00D74DF0" w:rsidRPr="00FE67B0" w:rsidRDefault="00D74DF0" w:rsidP="00D30EBE">
            <w:pPr>
              <w:rPr>
                <w:rFonts w:ascii="Arial" w:hAnsi="Arial" w:cs="Arial"/>
                <w:sz w:val="24"/>
                <w:szCs w:val="24"/>
                <w:lang w:eastAsia="en-GB"/>
              </w:rPr>
            </w:pPr>
            <w:r w:rsidRPr="00FE67B0">
              <w:rPr>
                <w:rFonts w:ascii="Arial" w:hAnsi="Arial" w:cs="Arial"/>
                <w:sz w:val="24"/>
                <w:szCs w:val="24"/>
                <w:lang w:eastAsia="en-GB"/>
              </w:rPr>
              <w:t>The portion over £250,000 up to and including £400,000</w:t>
            </w:r>
          </w:p>
        </w:tc>
        <w:tc>
          <w:tcPr>
            <w:tcW w:w="2447"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D2E006F" w14:textId="77777777" w:rsidR="00D74DF0" w:rsidRPr="00FE67B0" w:rsidRDefault="00D74DF0" w:rsidP="00D30EBE">
            <w:pPr>
              <w:jc w:val="center"/>
              <w:rPr>
                <w:rFonts w:ascii="Arial" w:hAnsi="Arial" w:cs="Arial"/>
                <w:sz w:val="24"/>
                <w:szCs w:val="24"/>
                <w:lang w:eastAsia="en-GB"/>
              </w:rPr>
            </w:pPr>
            <w:r w:rsidRPr="00FE67B0">
              <w:rPr>
                <w:rFonts w:ascii="Arial" w:hAnsi="Arial" w:cs="Arial"/>
                <w:sz w:val="24"/>
                <w:szCs w:val="24"/>
                <w:lang w:eastAsia="en-GB"/>
              </w:rPr>
              <w:t>10%</w:t>
            </w:r>
          </w:p>
        </w:tc>
      </w:tr>
      <w:tr w:rsidR="00D74DF0" w:rsidRPr="00FE67B0" w14:paraId="64C49978" w14:textId="77777777" w:rsidTr="006E2A93">
        <w:trPr>
          <w:trHeight w:val="722"/>
        </w:trPr>
        <w:tc>
          <w:tcPr>
            <w:tcW w:w="5774"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1C64A41B" w14:textId="77777777" w:rsidR="00D74DF0" w:rsidRPr="00FE67B0" w:rsidRDefault="00D74DF0" w:rsidP="00D30EBE">
            <w:pPr>
              <w:rPr>
                <w:rFonts w:ascii="Arial" w:hAnsi="Arial" w:cs="Arial"/>
                <w:sz w:val="24"/>
                <w:szCs w:val="24"/>
                <w:lang w:eastAsia="en-GB"/>
              </w:rPr>
            </w:pPr>
            <w:r w:rsidRPr="00FE67B0">
              <w:rPr>
                <w:rFonts w:ascii="Arial" w:hAnsi="Arial" w:cs="Arial"/>
                <w:sz w:val="24"/>
                <w:szCs w:val="24"/>
                <w:lang w:eastAsia="en-GB"/>
              </w:rPr>
              <w:t>The portion over £400,000 up to and including £750,000</w:t>
            </w:r>
          </w:p>
        </w:tc>
        <w:tc>
          <w:tcPr>
            <w:tcW w:w="2447"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5BF86EEE" w14:textId="77777777" w:rsidR="00D74DF0" w:rsidRPr="00FE67B0" w:rsidRDefault="00D74DF0" w:rsidP="00D30EBE">
            <w:pPr>
              <w:jc w:val="center"/>
              <w:rPr>
                <w:rFonts w:ascii="Arial" w:hAnsi="Arial" w:cs="Arial"/>
                <w:sz w:val="24"/>
                <w:szCs w:val="24"/>
                <w:lang w:eastAsia="en-GB"/>
              </w:rPr>
            </w:pPr>
            <w:r w:rsidRPr="00FE67B0">
              <w:rPr>
                <w:rFonts w:ascii="Arial" w:hAnsi="Arial" w:cs="Arial"/>
                <w:sz w:val="24"/>
                <w:szCs w:val="24"/>
                <w:lang w:eastAsia="en-GB"/>
              </w:rPr>
              <w:t>12.50%</w:t>
            </w:r>
          </w:p>
        </w:tc>
      </w:tr>
      <w:tr w:rsidR="00D74DF0" w:rsidRPr="00FE67B0" w14:paraId="13091B75" w14:textId="77777777" w:rsidTr="006E2A93">
        <w:trPr>
          <w:trHeight w:val="750"/>
        </w:trPr>
        <w:tc>
          <w:tcPr>
            <w:tcW w:w="5774"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654077D8" w14:textId="77777777" w:rsidR="00D74DF0" w:rsidRPr="00FE67B0" w:rsidRDefault="00D74DF0" w:rsidP="00D30EBE">
            <w:pPr>
              <w:rPr>
                <w:rFonts w:ascii="Arial" w:hAnsi="Arial" w:cs="Arial"/>
                <w:sz w:val="24"/>
                <w:szCs w:val="24"/>
                <w:lang w:eastAsia="en-GB"/>
              </w:rPr>
            </w:pPr>
            <w:r w:rsidRPr="00FE67B0">
              <w:rPr>
                <w:rFonts w:ascii="Arial" w:hAnsi="Arial" w:cs="Arial"/>
                <w:sz w:val="24"/>
                <w:szCs w:val="24"/>
                <w:lang w:eastAsia="en-GB"/>
              </w:rPr>
              <w:t>The portion over £750,000 up to and including £1,500,000</w:t>
            </w:r>
          </w:p>
        </w:tc>
        <w:tc>
          <w:tcPr>
            <w:tcW w:w="2447"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75427ED8" w14:textId="77777777" w:rsidR="00D74DF0" w:rsidRPr="00FE67B0" w:rsidRDefault="00D74DF0" w:rsidP="00D30EBE">
            <w:pPr>
              <w:jc w:val="center"/>
              <w:rPr>
                <w:rFonts w:ascii="Arial" w:hAnsi="Arial" w:cs="Arial"/>
                <w:sz w:val="24"/>
                <w:szCs w:val="24"/>
                <w:lang w:eastAsia="en-GB"/>
              </w:rPr>
            </w:pPr>
            <w:r w:rsidRPr="00FE67B0">
              <w:rPr>
                <w:rFonts w:ascii="Arial" w:hAnsi="Arial" w:cs="Arial"/>
                <w:sz w:val="24"/>
                <w:szCs w:val="24"/>
                <w:lang w:eastAsia="en-GB"/>
              </w:rPr>
              <w:t>15%</w:t>
            </w:r>
          </w:p>
        </w:tc>
      </w:tr>
      <w:tr w:rsidR="00D74DF0" w:rsidRPr="00FE67B0" w14:paraId="0E1ACA06" w14:textId="77777777" w:rsidTr="006E2A93">
        <w:trPr>
          <w:trHeight w:val="646"/>
        </w:trPr>
        <w:tc>
          <w:tcPr>
            <w:tcW w:w="5774"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hideMark/>
          </w:tcPr>
          <w:p w14:paraId="5F6F1C10" w14:textId="77777777" w:rsidR="00D74DF0" w:rsidRPr="00FE67B0" w:rsidRDefault="00D74DF0" w:rsidP="00D30EBE">
            <w:pPr>
              <w:rPr>
                <w:rFonts w:ascii="Arial" w:hAnsi="Arial" w:cs="Arial"/>
                <w:sz w:val="24"/>
                <w:szCs w:val="24"/>
                <w:lang w:eastAsia="en-GB"/>
              </w:rPr>
            </w:pPr>
            <w:r w:rsidRPr="00FE67B0">
              <w:rPr>
                <w:rFonts w:ascii="Arial" w:hAnsi="Arial" w:cs="Arial"/>
                <w:sz w:val="24"/>
                <w:szCs w:val="24"/>
                <w:lang w:eastAsia="en-GB"/>
              </w:rPr>
              <w:t>The portion over £1,500,000</w:t>
            </w:r>
          </w:p>
        </w:tc>
        <w:tc>
          <w:tcPr>
            <w:tcW w:w="2447"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4494735F" w14:textId="77777777" w:rsidR="00D74DF0" w:rsidRPr="00FE67B0" w:rsidRDefault="00D74DF0" w:rsidP="00D30EBE">
            <w:pPr>
              <w:jc w:val="center"/>
              <w:rPr>
                <w:rFonts w:ascii="Arial" w:hAnsi="Arial" w:cs="Arial"/>
                <w:sz w:val="24"/>
                <w:szCs w:val="24"/>
                <w:lang w:eastAsia="en-GB"/>
              </w:rPr>
            </w:pPr>
            <w:r w:rsidRPr="00FE67B0">
              <w:rPr>
                <w:rFonts w:ascii="Arial" w:hAnsi="Arial" w:cs="Arial"/>
                <w:sz w:val="24"/>
                <w:szCs w:val="24"/>
                <w:lang w:eastAsia="en-GB"/>
              </w:rPr>
              <w:t>17%</w:t>
            </w:r>
          </w:p>
        </w:tc>
      </w:tr>
    </w:tbl>
    <w:p w14:paraId="34C4F8BC" w14:textId="77777777" w:rsidR="00D74DF0" w:rsidRPr="00C83063" w:rsidRDefault="00D74DF0" w:rsidP="00D74DF0">
      <w:pPr>
        <w:rPr>
          <w:rFonts w:ascii="Arial" w:hAnsi="Arial" w:cs="Arial"/>
          <w:sz w:val="24"/>
          <w:szCs w:val="24"/>
          <w:lang w:eastAsia="en-GB"/>
        </w:rPr>
      </w:pPr>
    </w:p>
    <w:p w14:paraId="4C531135" w14:textId="77777777" w:rsidR="008A67FA" w:rsidRPr="00C83063" w:rsidRDefault="008A67FA" w:rsidP="002A7FCB">
      <w:pPr>
        <w:keepNext/>
        <w:keepLines/>
        <w:widowControl w:val="0"/>
        <w:tabs>
          <w:tab w:val="left" w:pos="720"/>
          <w:tab w:val="left" w:pos="1440"/>
          <w:tab w:val="left" w:pos="2160"/>
          <w:tab w:val="left" w:pos="2880"/>
          <w:tab w:val="left" w:pos="4680"/>
          <w:tab w:val="left" w:pos="5400"/>
          <w:tab w:val="right" w:pos="9000"/>
        </w:tabs>
        <w:spacing w:before="240" w:after="240" w:line="259" w:lineRule="auto"/>
        <w:jc w:val="both"/>
        <w:rPr>
          <w:rFonts w:ascii="Arial" w:eastAsia="Calibri" w:hAnsi="Arial" w:cs="Arial"/>
          <w:b/>
          <w:sz w:val="24"/>
          <w:szCs w:val="24"/>
        </w:rPr>
      </w:pPr>
    </w:p>
    <w:p w14:paraId="308BDC6C" w14:textId="77777777" w:rsidR="006E2A93" w:rsidRPr="00FE67B0" w:rsidRDefault="006E2A93">
      <w:pPr>
        <w:rPr>
          <w:rFonts w:ascii="Arial" w:eastAsia="Calibri" w:hAnsi="Arial" w:cs="Arial"/>
          <w:b/>
          <w:sz w:val="24"/>
          <w:szCs w:val="24"/>
          <w:lang w:eastAsia="en-GB"/>
        </w:rPr>
      </w:pPr>
      <w:r w:rsidRPr="00C83063">
        <w:rPr>
          <w:rFonts w:ascii="Arial" w:eastAsia="Calibri" w:hAnsi="Arial" w:cs="Arial"/>
          <w:sz w:val="24"/>
          <w:szCs w:val="24"/>
        </w:rPr>
        <w:br w:type="page"/>
      </w:r>
    </w:p>
    <w:p w14:paraId="7407F1EE" w14:textId="5C75DC28" w:rsidR="00D03B3E" w:rsidRPr="00FE67B0" w:rsidRDefault="00D03B3E" w:rsidP="00D03B3E">
      <w:pPr>
        <w:pStyle w:val="Heading1"/>
        <w:spacing w:before="240" w:after="240" w:line="259" w:lineRule="auto"/>
        <w:rPr>
          <w:rFonts w:eastAsia="Calibri" w:cs="Arial"/>
          <w:szCs w:val="24"/>
        </w:rPr>
      </w:pPr>
      <w:r w:rsidRPr="00FE67B0">
        <w:rPr>
          <w:rFonts w:eastAsia="Calibri" w:cs="Arial"/>
          <w:szCs w:val="24"/>
        </w:rPr>
        <w:lastRenderedPageBreak/>
        <w:t xml:space="preserve">Annex 2: </w:t>
      </w:r>
    </w:p>
    <w:p w14:paraId="624B5874" w14:textId="77777777" w:rsidR="00D74DF0" w:rsidRPr="00C83063" w:rsidRDefault="00D74DF0" w:rsidP="00D74DF0">
      <w:pPr>
        <w:keepNext/>
        <w:keepLines/>
        <w:widowControl w:val="0"/>
        <w:tabs>
          <w:tab w:val="left" w:pos="720"/>
          <w:tab w:val="left" w:pos="1440"/>
          <w:tab w:val="left" w:pos="2160"/>
          <w:tab w:val="left" w:pos="2880"/>
          <w:tab w:val="left" w:pos="4680"/>
          <w:tab w:val="left" w:pos="5400"/>
          <w:tab w:val="right" w:pos="9000"/>
        </w:tabs>
        <w:spacing w:before="240" w:after="240" w:line="259" w:lineRule="auto"/>
        <w:jc w:val="both"/>
        <w:rPr>
          <w:rFonts w:ascii="Arial" w:eastAsia="Calibri" w:hAnsi="Arial" w:cs="Arial"/>
          <w:b/>
          <w:sz w:val="24"/>
          <w:szCs w:val="24"/>
        </w:rPr>
      </w:pPr>
    </w:p>
    <w:p w14:paraId="7F8D523F" w14:textId="32B48989" w:rsidR="00D74DF0" w:rsidRPr="00C83063" w:rsidRDefault="00D74DF0" w:rsidP="00D74DF0">
      <w:pPr>
        <w:pStyle w:val="Heading3"/>
        <w:rPr>
          <w:sz w:val="24"/>
          <w:szCs w:val="24"/>
        </w:rPr>
      </w:pPr>
      <w:r w:rsidRPr="00C83063">
        <w:rPr>
          <w:sz w:val="24"/>
          <w:szCs w:val="24"/>
        </w:rPr>
        <w:t xml:space="preserve">Table </w:t>
      </w:r>
      <w:r w:rsidR="006E2A93" w:rsidRPr="00C83063">
        <w:rPr>
          <w:sz w:val="24"/>
          <w:szCs w:val="24"/>
        </w:rPr>
        <w:t>2</w:t>
      </w:r>
      <w:r w:rsidRPr="00C83063">
        <w:rPr>
          <w:sz w:val="24"/>
          <w:szCs w:val="24"/>
        </w:rPr>
        <w:t>: L</w:t>
      </w:r>
      <w:r w:rsidR="00F374D5" w:rsidRPr="00C83063">
        <w:rPr>
          <w:sz w:val="24"/>
          <w:szCs w:val="24"/>
        </w:rPr>
        <w:t xml:space="preserve">andfill </w:t>
      </w:r>
      <w:r w:rsidRPr="00C83063">
        <w:rPr>
          <w:sz w:val="24"/>
          <w:szCs w:val="24"/>
        </w:rPr>
        <w:t>D</w:t>
      </w:r>
      <w:r w:rsidR="00F374D5" w:rsidRPr="00C83063">
        <w:rPr>
          <w:sz w:val="24"/>
          <w:szCs w:val="24"/>
        </w:rPr>
        <w:t xml:space="preserve">isposals </w:t>
      </w:r>
      <w:r w:rsidRPr="00C83063">
        <w:rPr>
          <w:sz w:val="24"/>
          <w:szCs w:val="24"/>
        </w:rPr>
        <w:t>T</w:t>
      </w:r>
      <w:r w:rsidR="00F374D5" w:rsidRPr="00C83063">
        <w:rPr>
          <w:sz w:val="24"/>
          <w:szCs w:val="24"/>
        </w:rPr>
        <w:t>ax</w:t>
      </w:r>
      <w:r w:rsidRPr="00C83063">
        <w:rPr>
          <w:sz w:val="24"/>
          <w:szCs w:val="24"/>
        </w:rPr>
        <w:t xml:space="preserve"> rates (rate per tonne)</w:t>
      </w:r>
    </w:p>
    <w:p w14:paraId="6B99419B" w14:textId="77777777" w:rsidR="00D74DF0" w:rsidRPr="00C83063" w:rsidRDefault="00D74DF0" w:rsidP="00D74DF0">
      <w:pPr>
        <w:rPr>
          <w:rFonts w:ascii="Arial" w:hAnsi="Arial" w:cs="Arial"/>
          <w:sz w:val="24"/>
          <w:szCs w:val="24"/>
        </w:rPr>
      </w:pPr>
    </w:p>
    <w:tbl>
      <w:tblPr>
        <w:tblW w:w="8156"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5"/>
        <w:gridCol w:w="2057"/>
        <w:gridCol w:w="2057"/>
        <w:gridCol w:w="2057"/>
      </w:tblGrid>
      <w:tr w:rsidR="00D74DF0" w:rsidRPr="00FE67B0" w14:paraId="1BD692DD" w14:textId="77777777" w:rsidTr="006E2A93">
        <w:trPr>
          <w:trHeight w:val="305"/>
        </w:trPr>
        <w:tc>
          <w:tcPr>
            <w:tcW w:w="1985" w:type="dxa"/>
            <w:vAlign w:val="center"/>
          </w:tcPr>
          <w:p w14:paraId="7176C7EC" w14:textId="77777777" w:rsidR="00D74DF0" w:rsidRPr="00FE67B0" w:rsidRDefault="00D74DF0" w:rsidP="00D30EBE">
            <w:pPr>
              <w:pStyle w:val="Heading3"/>
              <w:keepNext w:val="0"/>
              <w:spacing w:before="480" w:after="240" w:line="259" w:lineRule="auto"/>
              <w:jc w:val="both"/>
              <w:rPr>
                <w:rFonts w:eastAsiaTheme="minorHAnsi"/>
                <w:sz w:val="24"/>
                <w:szCs w:val="24"/>
              </w:rPr>
            </w:pPr>
            <w:r w:rsidRPr="00FE67B0">
              <w:rPr>
                <w:rFonts w:eastAsiaTheme="minorHAnsi"/>
                <w:sz w:val="24"/>
                <w:szCs w:val="24"/>
              </w:rPr>
              <w:t>Rate</w:t>
            </w:r>
          </w:p>
        </w:tc>
        <w:tc>
          <w:tcPr>
            <w:tcW w:w="2057" w:type="dxa"/>
          </w:tcPr>
          <w:p w14:paraId="74E0A93C" w14:textId="77777777" w:rsidR="00D74DF0" w:rsidRPr="00FE67B0" w:rsidRDefault="00D74DF0" w:rsidP="00D30EBE">
            <w:pPr>
              <w:pStyle w:val="Heading3"/>
              <w:keepNext w:val="0"/>
              <w:spacing w:before="480" w:after="240" w:line="259" w:lineRule="auto"/>
              <w:rPr>
                <w:rFonts w:eastAsiaTheme="minorHAnsi"/>
                <w:sz w:val="24"/>
                <w:szCs w:val="24"/>
              </w:rPr>
            </w:pPr>
            <w:r w:rsidRPr="00FE67B0">
              <w:rPr>
                <w:rFonts w:eastAsiaTheme="minorHAnsi"/>
                <w:sz w:val="24"/>
                <w:szCs w:val="24"/>
              </w:rPr>
              <w:t>From 1 April 2023</w:t>
            </w:r>
          </w:p>
        </w:tc>
        <w:tc>
          <w:tcPr>
            <w:tcW w:w="2057" w:type="dxa"/>
          </w:tcPr>
          <w:p w14:paraId="69C9506A" w14:textId="77777777" w:rsidR="00D74DF0" w:rsidRPr="00FE67B0" w:rsidDel="00163D85" w:rsidRDefault="00D74DF0" w:rsidP="00D30EBE">
            <w:pPr>
              <w:pStyle w:val="Heading3"/>
              <w:keepNext w:val="0"/>
              <w:spacing w:before="480" w:after="240" w:line="259" w:lineRule="auto"/>
              <w:rPr>
                <w:rFonts w:eastAsiaTheme="minorHAnsi"/>
                <w:sz w:val="24"/>
                <w:szCs w:val="24"/>
              </w:rPr>
            </w:pPr>
            <w:r w:rsidRPr="00FE67B0">
              <w:rPr>
                <w:rFonts w:eastAsiaTheme="minorHAnsi"/>
                <w:sz w:val="24"/>
                <w:szCs w:val="24"/>
              </w:rPr>
              <w:t>From 1 April 2024</w:t>
            </w:r>
          </w:p>
        </w:tc>
        <w:tc>
          <w:tcPr>
            <w:tcW w:w="2057" w:type="dxa"/>
          </w:tcPr>
          <w:p w14:paraId="6B1EE8D1" w14:textId="77777777" w:rsidR="00D74DF0" w:rsidRPr="00FE67B0" w:rsidRDefault="00D74DF0" w:rsidP="00D30EBE">
            <w:pPr>
              <w:pStyle w:val="Heading3"/>
              <w:keepNext w:val="0"/>
              <w:spacing w:before="480" w:after="240" w:line="259" w:lineRule="auto"/>
              <w:rPr>
                <w:rFonts w:eastAsiaTheme="minorHAnsi"/>
                <w:sz w:val="24"/>
                <w:szCs w:val="24"/>
              </w:rPr>
            </w:pPr>
            <w:r w:rsidRPr="00FE67B0">
              <w:rPr>
                <w:rFonts w:eastAsiaTheme="minorHAnsi"/>
                <w:sz w:val="24"/>
                <w:szCs w:val="24"/>
              </w:rPr>
              <w:t>From 1 April 2025</w:t>
            </w:r>
          </w:p>
        </w:tc>
      </w:tr>
      <w:tr w:rsidR="00D74DF0" w:rsidRPr="00FE67B0" w14:paraId="7E2C163C" w14:textId="77777777" w:rsidTr="006E2A93">
        <w:trPr>
          <w:trHeight w:val="305"/>
        </w:trPr>
        <w:tc>
          <w:tcPr>
            <w:tcW w:w="1985" w:type="dxa"/>
            <w:vAlign w:val="center"/>
          </w:tcPr>
          <w:p w14:paraId="11CCE25C" w14:textId="77777777" w:rsidR="00D74DF0" w:rsidRPr="00FE67B0" w:rsidRDefault="00D74DF0" w:rsidP="00D30EBE">
            <w:pPr>
              <w:pStyle w:val="Heading3"/>
              <w:keepNext w:val="0"/>
              <w:spacing w:before="480" w:after="240" w:line="259" w:lineRule="auto"/>
              <w:jc w:val="both"/>
              <w:rPr>
                <w:rFonts w:eastAsiaTheme="minorHAnsi"/>
                <w:b w:val="0"/>
                <w:bCs w:val="0"/>
                <w:sz w:val="24"/>
                <w:szCs w:val="24"/>
              </w:rPr>
            </w:pPr>
            <w:r w:rsidRPr="00FE67B0">
              <w:rPr>
                <w:rFonts w:eastAsiaTheme="minorHAnsi"/>
                <w:b w:val="0"/>
                <w:bCs w:val="0"/>
                <w:sz w:val="24"/>
                <w:szCs w:val="24"/>
              </w:rPr>
              <w:t>Standard</w:t>
            </w:r>
          </w:p>
        </w:tc>
        <w:tc>
          <w:tcPr>
            <w:tcW w:w="2057" w:type="dxa"/>
          </w:tcPr>
          <w:p w14:paraId="7C148E21"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 xml:space="preserve">  £102.10</w:t>
            </w:r>
          </w:p>
        </w:tc>
        <w:tc>
          <w:tcPr>
            <w:tcW w:w="2057" w:type="dxa"/>
          </w:tcPr>
          <w:p w14:paraId="3B9D765C"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£103.70</w:t>
            </w:r>
          </w:p>
        </w:tc>
        <w:tc>
          <w:tcPr>
            <w:tcW w:w="2057" w:type="dxa"/>
          </w:tcPr>
          <w:p w14:paraId="22D27054"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£126.15</w:t>
            </w:r>
          </w:p>
        </w:tc>
      </w:tr>
      <w:tr w:rsidR="00D74DF0" w:rsidRPr="00FE67B0" w14:paraId="70782F1F" w14:textId="77777777" w:rsidTr="006E2A93">
        <w:trPr>
          <w:trHeight w:val="305"/>
        </w:trPr>
        <w:tc>
          <w:tcPr>
            <w:tcW w:w="1985" w:type="dxa"/>
            <w:vAlign w:val="center"/>
          </w:tcPr>
          <w:p w14:paraId="7C5E0630" w14:textId="77777777" w:rsidR="00D74DF0" w:rsidRPr="00FE67B0" w:rsidRDefault="00D74DF0" w:rsidP="00D30EBE">
            <w:pPr>
              <w:pStyle w:val="Heading3"/>
              <w:keepNext w:val="0"/>
              <w:spacing w:before="480" w:after="240" w:line="259" w:lineRule="auto"/>
              <w:jc w:val="both"/>
              <w:rPr>
                <w:rFonts w:eastAsiaTheme="minorHAnsi"/>
                <w:b w:val="0"/>
                <w:bCs w:val="0"/>
                <w:sz w:val="24"/>
                <w:szCs w:val="24"/>
              </w:rPr>
            </w:pPr>
            <w:r w:rsidRPr="00FE67B0">
              <w:rPr>
                <w:rFonts w:eastAsiaTheme="minorHAnsi"/>
                <w:b w:val="0"/>
                <w:bCs w:val="0"/>
                <w:sz w:val="24"/>
                <w:szCs w:val="24"/>
              </w:rPr>
              <w:t>Lower</w:t>
            </w:r>
          </w:p>
        </w:tc>
        <w:tc>
          <w:tcPr>
            <w:tcW w:w="2057" w:type="dxa"/>
          </w:tcPr>
          <w:p w14:paraId="3E204C29"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 xml:space="preserve">    £3.25</w:t>
            </w:r>
          </w:p>
        </w:tc>
        <w:tc>
          <w:tcPr>
            <w:tcW w:w="2057" w:type="dxa"/>
          </w:tcPr>
          <w:p w14:paraId="781689F2"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£3.30</w:t>
            </w:r>
          </w:p>
        </w:tc>
        <w:tc>
          <w:tcPr>
            <w:tcW w:w="2057" w:type="dxa"/>
          </w:tcPr>
          <w:p w14:paraId="13B70CF1"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£6.30</w:t>
            </w:r>
          </w:p>
        </w:tc>
      </w:tr>
      <w:tr w:rsidR="00D74DF0" w:rsidRPr="00FE67B0" w14:paraId="1138BA46" w14:textId="77777777" w:rsidTr="006E2A93">
        <w:trPr>
          <w:trHeight w:val="305"/>
        </w:trPr>
        <w:tc>
          <w:tcPr>
            <w:tcW w:w="1985" w:type="dxa"/>
            <w:vAlign w:val="center"/>
          </w:tcPr>
          <w:p w14:paraId="4DB4B398" w14:textId="77777777" w:rsidR="00D74DF0" w:rsidRPr="00FE67B0" w:rsidRDefault="00D74DF0" w:rsidP="00D30EBE">
            <w:pPr>
              <w:pStyle w:val="Heading3"/>
              <w:keepNext w:val="0"/>
              <w:spacing w:before="480" w:after="240" w:line="259" w:lineRule="auto"/>
              <w:jc w:val="both"/>
              <w:rPr>
                <w:rFonts w:eastAsiaTheme="minorHAnsi"/>
                <w:b w:val="0"/>
                <w:bCs w:val="0"/>
                <w:sz w:val="24"/>
                <w:szCs w:val="24"/>
              </w:rPr>
            </w:pPr>
            <w:r w:rsidRPr="00FE67B0">
              <w:rPr>
                <w:rFonts w:eastAsiaTheme="minorHAnsi"/>
                <w:b w:val="0"/>
                <w:bCs w:val="0"/>
                <w:sz w:val="24"/>
                <w:szCs w:val="24"/>
              </w:rPr>
              <w:t>Unauthorised disposals</w:t>
            </w:r>
          </w:p>
        </w:tc>
        <w:tc>
          <w:tcPr>
            <w:tcW w:w="2057" w:type="dxa"/>
          </w:tcPr>
          <w:p w14:paraId="285AA776"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£153.15</w:t>
            </w:r>
          </w:p>
        </w:tc>
        <w:tc>
          <w:tcPr>
            <w:tcW w:w="2057" w:type="dxa"/>
          </w:tcPr>
          <w:p w14:paraId="38D71A28"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£155.55</w:t>
            </w:r>
          </w:p>
        </w:tc>
        <w:tc>
          <w:tcPr>
            <w:tcW w:w="2057" w:type="dxa"/>
          </w:tcPr>
          <w:p w14:paraId="2F134487" w14:textId="77777777" w:rsidR="00D74DF0" w:rsidRPr="00FE67B0" w:rsidRDefault="00D74DF0" w:rsidP="00D30EBE">
            <w:pPr>
              <w:pStyle w:val="Heading3"/>
              <w:keepNext w:val="0"/>
              <w:spacing w:before="480" w:after="240" w:line="259" w:lineRule="auto"/>
              <w:jc w:val="right"/>
              <w:rPr>
                <w:rFonts w:eastAsiaTheme="minorHAnsi"/>
                <w:b w:val="0"/>
                <w:bCs w:val="0"/>
                <w:sz w:val="24"/>
                <w:szCs w:val="24"/>
              </w:rPr>
            </w:pPr>
            <w:r w:rsidRPr="00FE67B0">
              <w:rPr>
                <w:rFonts w:eastAsiaTheme="minorHAnsi"/>
                <w:b w:val="0"/>
                <w:bCs w:val="0"/>
                <w:sz w:val="24"/>
                <w:szCs w:val="24"/>
              </w:rPr>
              <w:t>£189.25</w:t>
            </w:r>
          </w:p>
        </w:tc>
      </w:tr>
    </w:tbl>
    <w:p w14:paraId="484ED0FE" w14:textId="77777777" w:rsidR="00D74DF0" w:rsidRPr="00FE67B0" w:rsidRDefault="00D74DF0" w:rsidP="00D74DF0">
      <w:pPr>
        <w:rPr>
          <w:rFonts w:ascii="Arial" w:hAnsi="Arial" w:cs="Arial"/>
          <w:b/>
          <w:sz w:val="24"/>
          <w:szCs w:val="24"/>
        </w:rPr>
      </w:pPr>
    </w:p>
    <w:sectPr w:rsidR="00D74DF0" w:rsidRPr="00FE67B0" w:rsidSect="002B1EF4">
      <w:footerReference w:type="even" r:id="rId15"/>
      <w:footerReference w:type="default" r:id="rId16"/>
      <w:headerReference w:type="first" r:id="rId17"/>
      <w:footerReference w:type="first" r:id="rId18"/>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6F0C" w14:textId="77777777" w:rsidR="00717E2A" w:rsidRDefault="00717E2A">
      <w:r>
        <w:separator/>
      </w:r>
    </w:p>
  </w:endnote>
  <w:endnote w:type="continuationSeparator" w:id="0">
    <w:p w14:paraId="7D1D2FA6" w14:textId="77777777" w:rsidR="00717E2A" w:rsidRDefault="0071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241BD" w14:textId="77777777" w:rsidR="00985AF6" w:rsidRDefault="00985AF6"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50AED2" w14:textId="77777777" w:rsidR="00985AF6" w:rsidRDefault="0098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0173" w14:textId="6822A92D" w:rsidR="00985AF6" w:rsidRDefault="00985AF6"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806">
      <w:rPr>
        <w:rStyle w:val="PageNumber"/>
        <w:noProof/>
      </w:rPr>
      <w:t>4</w:t>
    </w:r>
    <w:r>
      <w:rPr>
        <w:rStyle w:val="PageNumber"/>
      </w:rPr>
      <w:fldChar w:fldCharType="end"/>
    </w:r>
  </w:p>
  <w:p w14:paraId="239362A9" w14:textId="77777777" w:rsidR="00985AF6" w:rsidRDefault="00985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22D0" w14:textId="5F420DF6" w:rsidR="00985AF6" w:rsidRPr="005D2A41" w:rsidRDefault="00985AF6"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561806">
      <w:rPr>
        <w:rStyle w:val="PageNumber"/>
        <w:rFonts w:ascii="Arial" w:hAnsi="Arial" w:cs="Arial"/>
        <w:noProof/>
        <w:sz w:val="24"/>
        <w:szCs w:val="24"/>
      </w:rPr>
      <w:t>1</w:t>
    </w:r>
    <w:r w:rsidRPr="005D2A41">
      <w:rPr>
        <w:rStyle w:val="PageNumber"/>
        <w:rFonts w:ascii="Arial" w:hAnsi="Arial" w:cs="Arial"/>
        <w:sz w:val="24"/>
        <w:szCs w:val="24"/>
      </w:rPr>
      <w:fldChar w:fldCharType="end"/>
    </w:r>
  </w:p>
  <w:p w14:paraId="71AE85B0" w14:textId="77777777" w:rsidR="00985AF6" w:rsidRPr="00A845A9" w:rsidRDefault="00985AF6"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8CD43" w14:textId="77777777" w:rsidR="00717E2A" w:rsidRDefault="00717E2A">
      <w:r>
        <w:separator/>
      </w:r>
    </w:p>
  </w:footnote>
  <w:footnote w:type="continuationSeparator" w:id="0">
    <w:p w14:paraId="7DCBDFD3" w14:textId="77777777" w:rsidR="00717E2A" w:rsidRDefault="0071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1637" w14:textId="77777777" w:rsidR="00985AF6" w:rsidRDefault="00985AF6">
    <w:r>
      <w:rPr>
        <w:noProof/>
        <w:lang w:eastAsia="en-GB"/>
      </w:rPr>
      <w:drawing>
        <wp:anchor distT="0" distB="0" distL="114300" distR="114300" simplePos="0" relativeHeight="251657728" behindDoc="1" locked="0" layoutInCell="1" allowOverlap="1" wp14:anchorId="30E65BE1" wp14:editId="105F92A5">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B552D7F" w14:textId="77777777" w:rsidR="00985AF6" w:rsidRDefault="00985AF6">
    <w:pPr>
      <w:pStyle w:val="Header"/>
    </w:pPr>
  </w:p>
  <w:p w14:paraId="6DBF422B" w14:textId="77777777" w:rsidR="00985AF6" w:rsidRDefault="0098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B5BD4"/>
    <w:multiLevelType w:val="multilevel"/>
    <w:tmpl w:val="BB6A80D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4755" w:hanging="360"/>
      </w:pPr>
      <w:rPr>
        <w:rFonts w:ascii="Arial" w:hAnsi="Arial" w:cs="Arial" w:hint="default"/>
        <w:i w:val="0"/>
        <w:sz w:val="24"/>
        <w:szCs w:val="24"/>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786479"/>
    <w:multiLevelType w:val="hybridMultilevel"/>
    <w:tmpl w:val="76AC0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6F129D3"/>
    <w:multiLevelType w:val="hybridMultilevel"/>
    <w:tmpl w:val="03C28F14"/>
    <w:lvl w:ilvl="0" w:tplc="E24294D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23644F"/>
    <w:multiLevelType w:val="hybridMultilevel"/>
    <w:tmpl w:val="19A8BA10"/>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CA25F5F"/>
    <w:multiLevelType w:val="hybridMultilevel"/>
    <w:tmpl w:val="B6904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714C6E"/>
    <w:multiLevelType w:val="hybridMultilevel"/>
    <w:tmpl w:val="A2D8CB2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15:restartNumberingAfterBreak="0">
    <w:nsid w:val="7744503E"/>
    <w:multiLevelType w:val="hybridMultilevel"/>
    <w:tmpl w:val="19A8BA10"/>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95097613">
    <w:abstractNumId w:val="1"/>
  </w:num>
  <w:num w:numId="2" w16cid:durableId="1543782391">
    <w:abstractNumId w:val="6"/>
  </w:num>
  <w:num w:numId="3" w16cid:durableId="600186918">
    <w:abstractNumId w:val="0"/>
  </w:num>
  <w:num w:numId="4" w16cid:durableId="1535539817">
    <w:abstractNumId w:val="3"/>
  </w:num>
  <w:num w:numId="5" w16cid:durableId="241570984">
    <w:abstractNumId w:val="2"/>
  </w:num>
  <w:num w:numId="6" w16cid:durableId="167449160">
    <w:abstractNumId w:val="7"/>
    <w:lvlOverride w:ilvl="0">
      <w:startOverride w:val="1"/>
    </w:lvlOverride>
    <w:lvlOverride w:ilvl="1"/>
    <w:lvlOverride w:ilvl="2"/>
    <w:lvlOverride w:ilvl="3"/>
    <w:lvlOverride w:ilvl="4"/>
    <w:lvlOverride w:ilvl="5"/>
    <w:lvlOverride w:ilvl="6"/>
    <w:lvlOverride w:ilvl="7"/>
    <w:lvlOverride w:ilvl="8"/>
  </w:num>
  <w:num w:numId="7" w16cid:durableId="1742217846">
    <w:abstractNumId w:val="4"/>
    <w:lvlOverride w:ilvl="0">
      <w:startOverride w:val="1"/>
    </w:lvlOverride>
    <w:lvlOverride w:ilvl="1"/>
    <w:lvlOverride w:ilvl="2"/>
    <w:lvlOverride w:ilvl="3"/>
    <w:lvlOverride w:ilvl="4"/>
    <w:lvlOverride w:ilvl="5"/>
    <w:lvlOverride w:ilvl="6"/>
    <w:lvlOverride w:ilvl="7"/>
    <w:lvlOverride w:ilvl="8"/>
  </w:num>
  <w:num w:numId="8" w16cid:durableId="1839886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0DBF"/>
    <w:rsid w:val="000039F3"/>
    <w:rsid w:val="0000710B"/>
    <w:rsid w:val="00016D37"/>
    <w:rsid w:val="000201EA"/>
    <w:rsid w:val="00023B69"/>
    <w:rsid w:val="00023F61"/>
    <w:rsid w:val="00033BE6"/>
    <w:rsid w:val="0003459E"/>
    <w:rsid w:val="000454AB"/>
    <w:rsid w:val="00050516"/>
    <w:rsid w:val="000516D9"/>
    <w:rsid w:val="00054AE3"/>
    <w:rsid w:val="00061E37"/>
    <w:rsid w:val="0006774B"/>
    <w:rsid w:val="00081440"/>
    <w:rsid w:val="00082B81"/>
    <w:rsid w:val="00084110"/>
    <w:rsid w:val="0008708F"/>
    <w:rsid w:val="000879A9"/>
    <w:rsid w:val="00090C3D"/>
    <w:rsid w:val="00097118"/>
    <w:rsid w:val="000A5B45"/>
    <w:rsid w:val="000A5D6A"/>
    <w:rsid w:val="000B041E"/>
    <w:rsid w:val="000C3A52"/>
    <w:rsid w:val="000C53DB"/>
    <w:rsid w:val="000C5E9B"/>
    <w:rsid w:val="000C6E3F"/>
    <w:rsid w:val="000D48A2"/>
    <w:rsid w:val="000D5556"/>
    <w:rsid w:val="000E3FA4"/>
    <w:rsid w:val="000F7F59"/>
    <w:rsid w:val="00116281"/>
    <w:rsid w:val="00125111"/>
    <w:rsid w:val="0013454E"/>
    <w:rsid w:val="00134918"/>
    <w:rsid w:val="001378AC"/>
    <w:rsid w:val="00145CF4"/>
    <w:rsid w:val="001460B1"/>
    <w:rsid w:val="00161C5E"/>
    <w:rsid w:val="00165398"/>
    <w:rsid w:val="001656C2"/>
    <w:rsid w:val="001674BE"/>
    <w:rsid w:val="0017102C"/>
    <w:rsid w:val="001723B1"/>
    <w:rsid w:val="001A39E2"/>
    <w:rsid w:val="001A3C12"/>
    <w:rsid w:val="001A6771"/>
    <w:rsid w:val="001A6AF1"/>
    <w:rsid w:val="001B027C"/>
    <w:rsid w:val="001B288D"/>
    <w:rsid w:val="001B3124"/>
    <w:rsid w:val="001C532F"/>
    <w:rsid w:val="001D4C02"/>
    <w:rsid w:val="001D4EAC"/>
    <w:rsid w:val="001D574A"/>
    <w:rsid w:val="001E53BF"/>
    <w:rsid w:val="001F7662"/>
    <w:rsid w:val="0020525E"/>
    <w:rsid w:val="0020705F"/>
    <w:rsid w:val="002108B8"/>
    <w:rsid w:val="00211485"/>
    <w:rsid w:val="002146AF"/>
    <w:rsid w:val="00214B25"/>
    <w:rsid w:val="00223D26"/>
    <w:rsid w:val="00223E62"/>
    <w:rsid w:val="00230FE3"/>
    <w:rsid w:val="00241390"/>
    <w:rsid w:val="00250631"/>
    <w:rsid w:val="00263CE9"/>
    <w:rsid w:val="00274A5B"/>
    <w:rsid w:val="00274F08"/>
    <w:rsid w:val="0027540E"/>
    <w:rsid w:val="00282441"/>
    <w:rsid w:val="00291C5D"/>
    <w:rsid w:val="00291FF3"/>
    <w:rsid w:val="002A5310"/>
    <w:rsid w:val="002A6A1C"/>
    <w:rsid w:val="002A7FCB"/>
    <w:rsid w:val="002B0E76"/>
    <w:rsid w:val="002B1EF4"/>
    <w:rsid w:val="002B288F"/>
    <w:rsid w:val="002B61CA"/>
    <w:rsid w:val="002C3179"/>
    <w:rsid w:val="002C57B6"/>
    <w:rsid w:val="002D70DB"/>
    <w:rsid w:val="002D73E3"/>
    <w:rsid w:val="002E3B8C"/>
    <w:rsid w:val="002F0EB9"/>
    <w:rsid w:val="002F4453"/>
    <w:rsid w:val="002F53A9"/>
    <w:rsid w:val="00302CF8"/>
    <w:rsid w:val="00314E36"/>
    <w:rsid w:val="003220C1"/>
    <w:rsid w:val="00326B2A"/>
    <w:rsid w:val="003322E8"/>
    <w:rsid w:val="0033388F"/>
    <w:rsid w:val="00334278"/>
    <w:rsid w:val="00343699"/>
    <w:rsid w:val="00356D7B"/>
    <w:rsid w:val="0035756B"/>
    <w:rsid w:val="00357893"/>
    <w:rsid w:val="003670C1"/>
    <w:rsid w:val="00370471"/>
    <w:rsid w:val="00373E32"/>
    <w:rsid w:val="003746F4"/>
    <w:rsid w:val="00381C3F"/>
    <w:rsid w:val="003824A4"/>
    <w:rsid w:val="00386DDF"/>
    <w:rsid w:val="00391B51"/>
    <w:rsid w:val="003A0009"/>
    <w:rsid w:val="003A7892"/>
    <w:rsid w:val="003B1503"/>
    <w:rsid w:val="003B3D64"/>
    <w:rsid w:val="003B4752"/>
    <w:rsid w:val="003C3406"/>
    <w:rsid w:val="003C3E57"/>
    <w:rsid w:val="003C5133"/>
    <w:rsid w:val="003D4F22"/>
    <w:rsid w:val="003E2F8E"/>
    <w:rsid w:val="003F31A3"/>
    <w:rsid w:val="00412673"/>
    <w:rsid w:val="0041407E"/>
    <w:rsid w:val="0043031D"/>
    <w:rsid w:val="00432922"/>
    <w:rsid w:val="00435D7A"/>
    <w:rsid w:val="00443EA6"/>
    <w:rsid w:val="00445F0F"/>
    <w:rsid w:val="0046757C"/>
    <w:rsid w:val="0047329B"/>
    <w:rsid w:val="00475DAB"/>
    <w:rsid w:val="00483D2B"/>
    <w:rsid w:val="00497649"/>
    <w:rsid w:val="004A1627"/>
    <w:rsid w:val="004A1C2D"/>
    <w:rsid w:val="004B2B96"/>
    <w:rsid w:val="004B7C5F"/>
    <w:rsid w:val="004C5113"/>
    <w:rsid w:val="004C70FB"/>
    <w:rsid w:val="005006D2"/>
    <w:rsid w:val="00501D1A"/>
    <w:rsid w:val="00507B72"/>
    <w:rsid w:val="0052454D"/>
    <w:rsid w:val="00524D72"/>
    <w:rsid w:val="0053202B"/>
    <w:rsid w:val="00533223"/>
    <w:rsid w:val="00536F27"/>
    <w:rsid w:val="00552DB8"/>
    <w:rsid w:val="00560F1F"/>
    <w:rsid w:val="00561806"/>
    <w:rsid w:val="00572401"/>
    <w:rsid w:val="0057240F"/>
    <w:rsid w:val="00574BB3"/>
    <w:rsid w:val="00590E4A"/>
    <w:rsid w:val="005A043A"/>
    <w:rsid w:val="005A22E2"/>
    <w:rsid w:val="005B030B"/>
    <w:rsid w:val="005B7C0D"/>
    <w:rsid w:val="005C393B"/>
    <w:rsid w:val="005C6D6C"/>
    <w:rsid w:val="005D2A41"/>
    <w:rsid w:val="005D2D74"/>
    <w:rsid w:val="005D7663"/>
    <w:rsid w:val="005E23DC"/>
    <w:rsid w:val="005E246E"/>
    <w:rsid w:val="005E7F28"/>
    <w:rsid w:val="005F1659"/>
    <w:rsid w:val="00602F50"/>
    <w:rsid w:val="00603548"/>
    <w:rsid w:val="00613544"/>
    <w:rsid w:val="006306D9"/>
    <w:rsid w:val="00631C8E"/>
    <w:rsid w:val="00633B8D"/>
    <w:rsid w:val="00653D9A"/>
    <w:rsid w:val="00654C0A"/>
    <w:rsid w:val="00654D70"/>
    <w:rsid w:val="00656B2E"/>
    <w:rsid w:val="006604D9"/>
    <w:rsid w:val="006625BC"/>
    <w:rsid w:val="006633C7"/>
    <w:rsid w:val="00663F04"/>
    <w:rsid w:val="00670227"/>
    <w:rsid w:val="0067231C"/>
    <w:rsid w:val="006776DF"/>
    <w:rsid w:val="006814BD"/>
    <w:rsid w:val="0069133F"/>
    <w:rsid w:val="00697739"/>
    <w:rsid w:val="006B340E"/>
    <w:rsid w:val="006B461D"/>
    <w:rsid w:val="006C3822"/>
    <w:rsid w:val="006D0E07"/>
    <w:rsid w:val="006D77AB"/>
    <w:rsid w:val="006E0A2C"/>
    <w:rsid w:val="006E2A93"/>
    <w:rsid w:val="006E6469"/>
    <w:rsid w:val="006E7019"/>
    <w:rsid w:val="006F7CA9"/>
    <w:rsid w:val="00703993"/>
    <w:rsid w:val="00705E56"/>
    <w:rsid w:val="00717775"/>
    <w:rsid w:val="00717E2A"/>
    <w:rsid w:val="0072632E"/>
    <w:rsid w:val="00731484"/>
    <w:rsid w:val="007328BD"/>
    <w:rsid w:val="0073380E"/>
    <w:rsid w:val="007367C9"/>
    <w:rsid w:val="00743B79"/>
    <w:rsid w:val="00744622"/>
    <w:rsid w:val="007523BC"/>
    <w:rsid w:val="00752C48"/>
    <w:rsid w:val="00774700"/>
    <w:rsid w:val="007800C8"/>
    <w:rsid w:val="007831A5"/>
    <w:rsid w:val="00783759"/>
    <w:rsid w:val="00795818"/>
    <w:rsid w:val="007958E9"/>
    <w:rsid w:val="007A05FB"/>
    <w:rsid w:val="007A5AA4"/>
    <w:rsid w:val="007B2C08"/>
    <w:rsid w:val="007B5260"/>
    <w:rsid w:val="007C24E7"/>
    <w:rsid w:val="007C382F"/>
    <w:rsid w:val="007C4AF8"/>
    <w:rsid w:val="007D1318"/>
    <w:rsid w:val="007D1402"/>
    <w:rsid w:val="007D1DAE"/>
    <w:rsid w:val="007E10D8"/>
    <w:rsid w:val="007E27E1"/>
    <w:rsid w:val="007F0548"/>
    <w:rsid w:val="007F5E64"/>
    <w:rsid w:val="00800FA0"/>
    <w:rsid w:val="00801130"/>
    <w:rsid w:val="00804C6A"/>
    <w:rsid w:val="0080585A"/>
    <w:rsid w:val="008114E8"/>
    <w:rsid w:val="00812370"/>
    <w:rsid w:val="0082261C"/>
    <w:rsid w:val="0082411A"/>
    <w:rsid w:val="0083535F"/>
    <w:rsid w:val="00835800"/>
    <w:rsid w:val="00835A2A"/>
    <w:rsid w:val="00841628"/>
    <w:rsid w:val="0084287D"/>
    <w:rsid w:val="00846160"/>
    <w:rsid w:val="0085545B"/>
    <w:rsid w:val="00863A07"/>
    <w:rsid w:val="00864E5B"/>
    <w:rsid w:val="00873530"/>
    <w:rsid w:val="008735A4"/>
    <w:rsid w:val="008769FD"/>
    <w:rsid w:val="00877BD2"/>
    <w:rsid w:val="008846C3"/>
    <w:rsid w:val="008A47EC"/>
    <w:rsid w:val="008A67FA"/>
    <w:rsid w:val="008A77D8"/>
    <w:rsid w:val="008B0B18"/>
    <w:rsid w:val="008B2962"/>
    <w:rsid w:val="008B7927"/>
    <w:rsid w:val="008C5AEF"/>
    <w:rsid w:val="008C74BB"/>
    <w:rsid w:val="008D166E"/>
    <w:rsid w:val="008D1E0B"/>
    <w:rsid w:val="008D2162"/>
    <w:rsid w:val="008D6455"/>
    <w:rsid w:val="008D6FEF"/>
    <w:rsid w:val="008E0F55"/>
    <w:rsid w:val="008F0CC6"/>
    <w:rsid w:val="008F39FD"/>
    <w:rsid w:val="008F6FE5"/>
    <w:rsid w:val="008F789E"/>
    <w:rsid w:val="00905771"/>
    <w:rsid w:val="009058C8"/>
    <w:rsid w:val="009358DF"/>
    <w:rsid w:val="009365B2"/>
    <w:rsid w:val="00936767"/>
    <w:rsid w:val="009407C2"/>
    <w:rsid w:val="009437CD"/>
    <w:rsid w:val="009449AE"/>
    <w:rsid w:val="00953A46"/>
    <w:rsid w:val="00954577"/>
    <w:rsid w:val="009614FA"/>
    <w:rsid w:val="00967473"/>
    <w:rsid w:val="00973090"/>
    <w:rsid w:val="00985AF6"/>
    <w:rsid w:val="00990955"/>
    <w:rsid w:val="00995A8C"/>
    <w:rsid w:val="00995EEC"/>
    <w:rsid w:val="009B435C"/>
    <w:rsid w:val="009C35D9"/>
    <w:rsid w:val="009D2542"/>
    <w:rsid w:val="009D26D8"/>
    <w:rsid w:val="009D2D07"/>
    <w:rsid w:val="009E0381"/>
    <w:rsid w:val="009E4974"/>
    <w:rsid w:val="009F06C3"/>
    <w:rsid w:val="009F13FA"/>
    <w:rsid w:val="009F6B48"/>
    <w:rsid w:val="00A04DF2"/>
    <w:rsid w:val="00A204C9"/>
    <w:rsid w:val="00A23742"/>
    <w:rsid w:val="00A3247B"/>
    <w:rsid w:val="00A35992"/>
    <w:rsid w:val="00A40DB1"/>
    <w:rsid w:val="00A46E88"/>
    <w:rsid w:val="00A50209"/>
    <w:rsid w:val="00A52275"/>
    <w:rsid w:val="00A5596C"/>
    <w:rsid w:val="00A72604"/>
    <w:rsid w:val="00A72CF3"/>
    <w:rsid w:val="00A741F6"/>
    <w:rsid w:val="00A82A45"/>
    <w:rsid w:val="00A845A9"/>
    <w:rsid w:val="00A86102"/>
    <w:rsid w:val="00A86958"/>
    <w:rsid w:val="00A90F53"/>
    <w:rsid w:val="00AA5651"/>
    <w:rsid w:val="00AA5848"/>
    <w:rsid w:val="00AA7750"/>
    <w:rsid w:val="00AA7F24"/>
    <w:rsid w:val="00AC1F73"/>
    <w:rsid w:val="00AC2C94"/>
    <w:rsid w:val="00AC3546"/>
    <w:rsid w:val="00AC50E9"/>
    <w:rsid w:val="00AD29A4"/>
    <w:rsid w:val="00AD65F1"/>
    <w:rsid w:val="00AE064D"/>
    <w:rsid w:val="00AF056B"/>
    <w:rsid w:val="00AF2BD9"/>
    <w:rsid w:val="00B00D0E"/>
    <w:rsid w:val="00B049B1"/>
    <w:rsid w:val="00B21477"/>
    <w:rsid w:val="00B239BA"/>
    <w:rsid w:val="00B356EE"/>
    <w:rsid w:val="00B377C0"/>
    <w:rsid w:val="00B40AB1"/>
    <w:rsid w:val="00B436CC"/>
    <w:rsid w:val="00B45D26"/>
    <w:rsid w:val="00B468BB"/>
    <w:rsid w:val="00B50549"/>
    <w:rsid w:val="00B50DE5"/>
    <w:rsid w:val="00B62B6F"/>
    <w:rsid w:val="00B675D8"/>
    <w:rsid w:val="00B81F17"/>
    <w:rsid w:val="00B86DBC"/>
    <w:rsid w:val="00B97D19"/>
    <w:rsid w:val="00BA3864"/>
    <w:rsid w:val="00BA73D9"/>
    <w:rsid w:val="00BB62F1"/>
    <w:rsid w:val="00BB774E"/>
    <w:rsid w:val="00BC465E"/>
    <w:rsid w:val="00BF499D"/>
    <w:rsid w:val="00C000C1"/>
    <w:rsid w:val="00C156BF"/>
    <w:rsid w:val="00C24B77"/>
    <w:rsid w:val="00C25725"/>
    <w:rsid w:val="00C37553"/>
    <w:rsid w:val="00C43B4A"/>
    <w:rsid w:val="00C4588D"/>
    <w:rsid w:val="00C56851"/>
    <w:rsid w:val="00C64FA5"/>
    <w:rsid w:val="00C71F2B"/>
    <w:rsid w:val="00C8105F"/>
    <w:rsid w:val="00C83063"/>
    <w:rsid w:val="00C83C1E"/>
    <w:rsid w:val="00C84A12"/>
    <w:rsid w:val="00C85C12"/>
    <w:rsid w:val="00C90DAA"/>
    <w:rsid w:val="00C940C2"/>
    <w:rsid w:val="00C945DC"/>
    <w:rsid w:val="00CA3764"/>
    <w:rsid w:val="00CC1122"/>
    <w:rsid w:val="00CC269B"/>
    <w:rsid w:val="00CC6183"/>
    <w:rsid w:val="00CD2B65"/>
    <w:rsid w:val="00CD5796"/>
    <w:rsid w:val="00CE0A3C"/>
    <w:rsid w:val="00CE3D46"/>
    <w:rsid w:val="00CE463B"/>
    <w:rsid w:val="00CF3DC5"/>
    <w:rsid w:val="00D0061E"/>
    <w:rsid w:val="00D017E2"/>
    <w:rsid w:val="00D03B3E"/>
    <w:rsid w:val="00D101DE"/>
    <w:rsid w:val="00D11071"/>
    <w:rsid w:val="00D12E33"/>
    <w:rsid w:val="00D131F1"/>
    <w:rsid w:val="00D16D97"/>
    <w:rsid w:val="00D206EE"/>
    <w:rsid w:val="00D259E9"/>
    <w:rsid w:val="00D2708F"/>
    <w:rsid w:val="00D27F42"/>
    <w:rsid w:val="00D35578"/>
    <w:rsid w:val="00D51446"/>
    <w:rsid w:val="00D6036F"/>
    <w:rsid w:val="00D701E5"/>
    <w:rsid w:val="00D74DF0"/>
    <w:rsid w:val="00D76B20"/>
    <w:rsid w:val="00D84713"/>
    <w:rsid w:val="00D8639E"/>
    <w:rsid w:val="00D90102"/>
    <w:rsid w:val="00DA185E"/>
    <w:rsid w:val="00DB3135"/>
    <w:rsid w:val="00DB338A"/>
    <w:rsid w:val="00DB63D5"/>
    <w:rsid w:val="00DC4286"/>
    <w:rsid w:val="00DD0C7C"/>
    <w:rsid w:val="00DD4B82"/>
    <w:rsid w:val="00DE2355"/>
    <w:rsid w:val="00DE601E"/>
    <w:rsid w:val="00DF6739"/>
    <w:rsid w:val="00E03C19"/>
    <w:rsid w:val="00E07DF1"/>
    <w:rsid w:val="00E1556F"/>
    <w:rsid w:val="00E17B26"/>
    <w:rsid w:val="00E27612"/>
    <w:rsid w:val="00E27730"/>
    <w:rsid w:val="00E3419E"/>
    <w:rsid w:val="00E374B6"/>
    <w:rsid w:val="00E4396A"/>
    <w:rsid w:val="00E453DC"/>
    <w:rsid w:val="00E47B1A"/>
    <w:rsid w:val="00E631B1"/>
    <w:rsid w:val="00E64381"/>
    <w:rsid w:val="00E76F19"/>
    <w:rsid w:val="00E8426D"/>
    <w:rsid w:val="00E93652"/>
    <w:rsid w:val="00E94703"/>
    <w:rsid w:val="00EA326B"/>
    <w:rsid w:val="00EA5290"/>
    <w:rsid w:val="00EB248F"/>
    <w:rsid w:val="00EB309E"/>
    <w:rsid w:val="00EB5F93"/>
    <w:rsid w:val="00EC0568"/>
    <w:rsid w:val="00EC16D1"/>
    <w:rsid w:val="00ED4B11"/>
    <w:rsid w:val="00EE721A"/>
    <w:rsid w:val="00EF2387"/>
    <w:rsid w:val="00EF464C"/>
    <w:rsid w:val="00F015F6"/>
    <w:rsid w:val="00F0272E"/>
    <w:rsid w:val="00F1449D"/>
    <w:rsid w:val="00F2438B"/>
    <w:rsid w:val="00F27FAB"/>
    <w:rsid w:val="00F353E9"/>
    <w:rsid w:val="00F374D5"/>
    <w:rsid w:val="00F50852"/>
    <w:rsid w:val="00F51A1B"/>
    <w:rsid w:val="00F64A3A"/>
    <w:rsid w:val="00F67B3A"/>
    <w:rsid w:val="00F74DD7"/>
    <w:rsid w:val="00F75684"/>
    <w:rsid w:val="00F76179"/>
    <w:rsid w:val="00F77FBD"/>
    <w:rsid w:val="00F81C33"/>
    <w:rsid w:val="00F914BE"/>
    <w:rsid w:val="00F923C2"/>
    <w:rsid w:val="00F9380A"/>
    <w:rsid w:val="00F97613"/>
    <w:rsid w:val="00FA04CA"/>
    <w:rsid w:val="00FA1684"/>
    <w:rsid w:val="00FA7B8D"/>
    <w:rsid w:val="00FB4626"/>
    <w:rsid w:val="00FE67B0"/>
    <w:rsid w:val="00FF0966"/>
    <w:rsid w:val="00FF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9F56A"/>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uiPriority w:val="9"/>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customStyle="1" w:styleId="Default">
    <w:name w:val="Default"/>
    <w:rsid w:val="00985AF6"/>
    <w:pPr>
      <w:autoSpaceDE w:val="0"/>
      <w:autoSpaceDN w:val="0"/>
      <w:adjustRightInd w:val="0"/>
    </w:pPr>
    <w:rPr>
      <w:rFonts w:eastAsiaTheme="minorHAnsi"/>
      <w:color w:val="000000"/>
      <w:sz w:val="24"/>
      <w:szCs w:val="24"/>
      <w:lang w:eastAsia="en-US"/>
    </w:rPr>
  </w:style>
  <w:style w:type="paragraph" w:styleId="BalloonText">
    <w:name w:val="Balloon Text"/>
    <w:basedOn w:val="Normal"/>
    <w:link w:val="BalloonTextChar"/>
    <w:semiHidden/>
    <w:unhideWhenUsed/>
    <w:rsid w:val="001A6771"/>
    <w:rPr>
      <w:rFonts w:ascii="Segoe UI" w:hAnsi="Segoe UI" w:cs="Segoe UI"/>
      <w:sz w:val="18"/>
      <w:szCs w:val="18"/>
    </w:rPr>
  </w:style>
  <w:style w:type="character" w:customStyle="1" w:styleId="BalloonTextChar">
    <w:name w:val="Balloon Text Char"/>
    <w:basedOn w:val="DefaultParagraphFont"/>
    <w:link w:val="BalloonText"/>
    <w:semiHidden/>
    <w:rsid w:val="001A6771"/>
    <w:rPr>
      <w:rFonts w:ascii="Segoe UI" w:hAnsi="Segoe UI" w:cs="Segoe UI"/>
      <w:sz w:val="18"/>
      <w:szCs w:val="18"/>
      <w:lang w:eastAsia="en-US"/>
    </w:rPr>
  </w:style>
  <w:style w:type="character" w:styleId="CommentReference">
    <w:name w:val="annotation reference"/>
    <w:basedOn w:val="DefaultParagraphFont"/>
    <w:semiHidden/>
    <w:unhideWhenUsed/>
    <w:rsid w:val="00E8426D"/>
    <w:rPr>
      <w:sz w:val="16"/>
      <w:szCs w:val="16"/>
    </w:rPr>
  </w:style>
  <w:style w:type="paragraph" w:styleId="CommentText">
    <w:name w:val="annotation text"/>
    <w:basedOn w:val="Normal"/>
    <w:link w:val="CommentTextChar"/>
    <w:unhideWhenUsed/>
    <w:rsid w:val="00E8426D"/>
    <w:rPr>
      <w:sz w:val="20"/>
    </w:rPr>
  </w:style>
  <w:style w:type="character" w:customStyle="1" w:styleId="CommentTextChar">
    <w:name w:val="Comment Text Char"/>
    <w:basedOn w:val="DefaultParagraphFont"/>
    <w:link w:val="CommentText"/>
    <w:rsid w:val="00E8426D"/>
    <w:rPr>
      <w:rFonts w:ascii="TradeGothic" w:hAnsi="TradeGothic"/>
      <w:lang w:eastAsia="en-US"/>
    </w:rPr>
  </w:style>
  <w:style w:type="paragraph" w:styleId="CommentSubject">
    <w:name w:val="annotation subject"/>
    <w:basedOn w:val="CommentText"/>
    <w:next w:val="CommentText"/>
    <w:link w:val="CommentSubjectChar"/>
    <w:semiHidden/>
    <w:unhideWhenUsed/>
    <w:rsid w:val="00E8426D"/>
    <w:rPr>
      <w:b/>
      <w:bCs/>
    </w:rPr>
  </w:style>
  <w:style w:type="character" w:customStyle="1" w:styleId="CommentSubjectChar">
    <w:name w:val="Comment Subject Char"/>
    <w:basedOn w:val="CommentTextChar"/>
    <w:link w:val="CommentSubject"/>
    <w:semiHidden/>
    <w:rsid w:val="00E8426D"/>
    <w:rPr>
      <w:rFonts w:ascii="TradeGothic" w:hAnsi="TradeGothic"/>
      <w:b/>
      <w:bCs/>
      <w:lang w:eastAsia="en-US"/>
    </w:rPr>
  </w:style>
  <w:style w:type="paragraph" w:styleId="Revision">
    <w:name w:val="Revision"/>
    <w:hidden/>
    <w:uiPriority w:val="99"/>
    <w:semiHidden/>
    <w:rsid w:val="00C156BF"/>
    <w:rPr>
      <w:rFonts w:ascii="TradeGothic" w:hAnsi="TradeGothic"/>
      <w:sz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CC269B"/>
    <w:rPr>
      <w:rFonts w:ascii="TradeGothic" w:hAnsi="TradeGothic"/>
      <w:sz w:val="22"/>
      <w:lang w:eastAsia="en-US"/>
    </w:rPr>
  </w:style>
  <w:style w:type="paragraph" w:styleId="FootnoteText">
    <w:name w:val="footnote text"/>
    <w:basedOn w:val="Normal"/>
    <w:link w:val="FootnoteTextChar"/>
    <w:uiPriority w:val="99"/>
    <w:unhideWhenUsed/>
    <w:rsid w:val="003B4752"/>
    <w:pPr>
      <w:spacing w:before="240" w:after="240" w:line="259" w:lineRule="auto"/>
      <w:jc w:val="both"/>
    </w:pPr>
    <w:rPr>
      <w:rFonts w:ascii="Arial" w:eastAsiaTheme="minorEastAsia" w:hAnsi="Arial" w:cs="Arial"/>
      <w:sz w:val="20"/>
    </w:rPr>
  </w:style>
  <w:style w:type="character" w:customStyle="1" w:styleId="FootnoteTextChar">
    <w:name w:val="Footnote Text Char"/>
    <w:basedOn w:val="DefaultParagraphFont"/>
    <w:link w:val="FootnoteText"/>
    <w:uiPriority w:val="99"/>
    <w:rsid w:val="003B4752"/>
    <w:rPr>
      <w:rFonts w:ascii="Arial" w:eastAsiaTheme="minorEastAsia" w:hAnsi="Arial" w:cs="Arial"/>
      <w:lang w:eastAsia="en-US"/>
    </w:rPr>
  </w:style>
  <w:style w:type="character" w:styleId="FootnoteReference">
    <w:name w:val="footnote reference"/>
    <w:aliases w:val="stylish,SUPERS,Footnote Reference Superscript,Footnote symbol,BVI fnr,-E Fußnotenzeichen,Source Reference,Footnote reference number,note TESI,Times 10 Point,Exposant 3 Point,Ref,de nota al pie,EN Footnote Reference,ftr,ftref,FR"/>
    <w:basedOn w:val="DefaultParagraphFont"/>
    <w:uiPriority w:val="99"/>
    <w:unhideWhenUsed/>
    <w:qFormat/>
    <w:rsid w:val="003B4752"/>
    <w:rPr>
      <w:vertAlign w:val="superscript"/>
    </w:rPr>
  </w:style>
  <w:style w:type="character" w:customStyle="1" w:styleId="Heading3Char">
    <w:name w:val="Heading 3 Char"/>
    <w:basedOn w:val="DefaultParagraphFont"/>
    <w:link w:val="Heading3"/>
    <w:uiPriority w:val="9"/>
    <w:rsid w:val="004B7C5F"/>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63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9392">
      <w:bodyDiv w:val="1"/>
      <w:marLeft w:val="0"/>
      <w:marRight w:val="0"/>
      <w:marTop w:val="0"/>
      <w:marBottom w:val="0"/>
      <w:divBdr>
        <w:top w:val="none" w:sz="0" w:space="0" w:color="auto"/>
        <w:left w:val="none" w:sz="0" w:space="0" w:color="auto"/>
        <w:bottom w:val="none" w:sz="0" w:space="0" w:color="auto"/>
        <w:right w:val="none" w:sz="0" w:space="0" w:color="auto"/>
      </w:divBdr>
    </w:div>
    <w:div w:id="381565357">
      <w:bodyDiv w:val="1"/>
      <w:marLeft w:val="0"/>
      <w:marRight w:val="0"/>
      <w:marTop w:val="0"/>
      <w:marBottom w:val="0"/>
      <w:divBdr>
        <w:top w:val="none" w:sz="0" w:space="0" w:color="auto"/>
        <w:left w:val="none" w:sz="0" w:space="0" w:color="auto"/>
        <w:bottom w:val="none" w:sz="0" w:space="0" w:color="auto"/>
        <w:right w:val="none" w:sz="0" w:space="0" w:color="auto"/>
      </w:divBdr>
    </w:div>
    <w:div w:id="542836488">
      <w:bodyDiv w:val="1"/>
      <w:marLeft w:val="0"/>
      <w:marRight w:val="0"/>
      <w:marTop w:val="0"/>
      <w:marBottom w:val="0"/>
      <w:divBdr>
        <w:top w:val="none" w:sz="0" w:space="0" w:color="auto"/>
        <w:left w:val="none" w:sz="0" w:space="0" w:color="auto"/>
        <w:bottom w:val="none" w:sz="0" w:space="0" w:color="auto"/>
        <w:right w:val="none" w:sz="0" w:space="0" w:color="auto"/>
      </w:divBdr>
    </w:div>
    <w:div w:id="747581231">
      <w:bodyDiv w:val="1"/>
      <w:marLeft w:val="0"/>
      <w:marRight w:val="0"/>
      <w:marTop w:val="0"/>
      <w:marBottom w:val="0"/>
      <w:divBdr>
        <w:top w:val="none" w:sz="0" w:space="0" w:color="auto"/>
        <w:left w:val="none" w:sz="0" w:space="0" w:color="auto"/>
        <w:bottom w:val="none" w:sz="0" w:space="0" w:color="auto"/>
        <w:right w:val="none" w:sz="0" w:space="0" w:color="auto"/>
      </w:divBdr>
    </w:div>
    <w:div w:id="1112214306">
      <w:bodyDiv w:val="1"/>
      <w:marLeft w:val="0"/>
      <w:marRight w:val="0"/>
      <w:marTop w:val="0"/>
      <w:marBottom w:val="0"/>
      <w:divBdr>
        <w:top w:val="none" w:sz="0" w:space="0" w:color="auto"/>
        <w:left w:val="none" w:sz="0" w:space="0" w:color="auto"/>
        <w:bottom w:val="none" w:sz="0" w:space="0" w:color="auto"/>
        <w:right w:val="none" w:sz="0" w:space="0" w:color="auto"/>
      </w:divBdr>
    </w:div>
    <w:div w:id="1323436917">
      <w:bodyDiv w:val="1"/>
      <w:marLeft w:val="0"/>
      <w:marRight w:val="0"/>
      <w:marTop w:val="0"/>
      <w:marBottom w:val="0"/>
      <w:divBdr>
        <w:top w:val="none" w:sz="0" w:space="0" w:color="auto"/>
        <w:left w:val="none" w:sz="0" w:space="0" w:color="auto"/>
        <w:bottom w:val="none" w:sz="0" w:space="0" w:color="auto"/>
        <w:right w:val="none" w:sz="0" w:space="0" w:color="auto"/>
      </w:divBdr>
    </w:div>
    <w:div w:id="1726830123">
      <w:bodyDiv w:val="1"/>
      <w:marLeft w:val="0"/>
      <w:marRight w:val="0"/>
      <w:marTop w:val="0"/>
      <w:marBottom w:val="0"/>
      <w:divBdr>
        <w:top w:val="none" w:sz="0" w:space="0" w:color="auto"/>
        <w:left w:val="none" w:sz="0" w:space="0" w:color="auto"/>
        <w:bottom w:val="none" w:sz="0" w:space="0" w:color="auto"/>
        <w:right w:val="none" w:sz="0" w:space="0" w:color="auto"/>
      </w:divBdr>
    </w:div>
    <w:div w:id="1977836189">
      <w:bodyDiv w:val="1"/>
      <w:marLeft w:val="0"/>
      <w:marRight w:val="0"/>
      <w:marTop w:val="0"/>
      <w:marBottom w:val="0"/>
      <w:divBdr>
        <w:top w:val="none" w:sz="0" w:space="0" w:color="auto"/>
        <w:left w:val="none" w:sz="0" w:space="0" w:color="auto"/>
        <w:bottom w:val="none" w:sz="0" w:space="0" w:color="auto"/>
        <w:right w:val="none" w:sz="0" w:space="0" w:color="auto"/>
      </w:divBdr>
    </w:div>
    <w:div w:id="21470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wales/lower-rate-of-landfill-disposals-ta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wales/welsh-rates-of-income-tax-ready-reckoner-2025-to-20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wales/tax-policy-report-december-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FF3C5B18883D4E21973B57C2EEED7FD1" version="1.0.0">
  <systemFields>
    <field name="Objective-Id">
      <value order="0">A55229199</value>
    </field>
    <field name="Objective-Title">
      <value order="0">Tax Policy Report 2024 - Written Statement - (E)</value>
    </field>
    <field name="Objective-Description">
      <value order="0"/>
    </field>
    <field name="Objective-CreationStamp">
      <value order="0">2024-10-04T15:43:52Z</value>
    </field>
    <field name="Objective-IsApproved">
      <value order="0">false</value>
    </field>
    <field name="Objective-IsPublished">
      <value order="0">true</value>
    </field>
    <field name="Objective-DatePublished">
      <value order="0">2024-12-06T10:04:43Z</value>
    </field>
    <field name="Objective-ModificationStamp">
      <value order="0">2024-12-06T10:04:43Z</value>
    </field>
    <field name="Objective-Owner">
      <value order="0">Moss, Nigel (CSI - Welsh Treasury - Tax Strategy&amp;Intergovernmental Relations)</value>
    </field>
    <field name="Objective-Path">
      <value order="0">Objective Global Folder:#Business File Plan:WG Organisational Groups:Post April 2024 - Corporate Services &amp; Inspectorates:Corporate Services &amp; Inspectorates (CSI) - Welsh Treasury - Tax Strategy and Intergovernmental Relations:1 - Save:Research:Tax Strategy and Policy :Tax Policy work plan &amp; reports :Welsh Treasury - Tax Policy Report - 2020-2026:2024 Welsh Tax Policy Report</value>
    </field>
    <field name="Objective-Parent">
      <value order="0">2024 Welsh Tax Policy Report</value>
    </field>
    <field name="Objective-State">
      <value order="0">Published</value>
    </field>
    <field name="Objective-VersionId">
      <value order="0">vA101889860</value>
    </field>
    <field name="Objective-Version">
      <value order="0">49.0</value>
    </field>
    <field name="Objective-VersionNumber">
      <value order="0">50</value>
    </field>
    <field name="Objective-VersionComment">
      <value order="0"/>
    </field>
    <field name="Objective-FileNumber">
      <value order="0">qA1415738</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7" ma:contentTypeDescription="Create a new document." ma:contentTypeScope="" ma:versionID="f823cbde6026e67e3e74a61df1f9c0e1">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12c32efec452d9cdbe2b26650901c694"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5FE4B-67F8-46D9-BD06-7D34AEF8694D}">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140DE73A-8216-4156-BB15-0ACA61105A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0F7A5D-B988-4A40-A9B4-35C7DB87B996}">
  <ds:schemaRefs>
    <ds:schemaRef ds:uri="http://schemas.openxmlformats.org/officeDocument/2006/bibliography"/>
  </ds:schemaRefs>
</ds:datastoreItem>
</file>

<file path=customXml/itemProps5.xml><?xml version="1.0" encoding="utf-8"?>
<ds:datastoreItem xmlns:ds="http://schemas.openxmlformats.org/officeDocument/2006/customXml" ds:itemID="{245E8F3F-690B-4F48-A587-633A1225F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1036</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Carey, Helen (FMG - Office of the First Minister - Cabinet Division)</cp:lastModifiedBy>
  <cp:revision>4</cp:revision>
  <cp:lastPrinted>2011-05-27T10:19:00Z</cp:lastPrinted>
  <dcterms:created xsi:type="dcterms:W3CDTF">2024-12-10T12:03:00Z</dcterms:created>
  <dcterms:modified xsi:type="dcterms:W3CDTF">2024-12-10T12:08:00Z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A55229199</vt:lpwstr>
  </property>
  <property fmtid="{D5CDD505-2E9C-101B-9397-08002B2CF9AE}" pid="4" name="Objective-Title">
    <vt:lpwstr>Tax Policy Report 2024 - Written Statement - (E)</vt:lpwstr>
  </property>
  <property fmtid="{D5CDD505-2E9C-101B-9397-08002B2CF9AE}" pid="5" name="Objective-Comment">
    <vt:lpwstr/>
  </property>
  <property fmtid="{D5CDD505-2E9C-101B-9397-08002B2CF9AE}" pid="6" name="Objective-CreationStamp">
    <vt:filetime>2024-10-04T15:43:52Z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2024-12-06T10:04:43Z</vt:filetime>
  </property>
  <property fmtid="{D5CDD505-2E9C-101B-9397-08002B2CF9AE}" pid="10" name="Objective-ModificationStamp">
    <vt:filetime>2024-12-06T10:04:43Z</vt:filetime>
  </property>
  <property fmtid="{D5CDD505-2E9C-101B-9397-08002B2CF9AE}" pid="11" name="Objective-Owner">
    <vt:lpwstr>Moss, Nigel (CSI - Welsh Treasury - Tax Strategy&amp;Intergovernmental Relations)</vt:lpwstr>
  </property>
  <property fmtid="{D5CDD505-2E9C-101B-9397-08002B2CF9AE}" pid="12" name="Objective-Path">
    <vt:lpwstr>Objective Global Folder:#Business File Plan:WG Organisational Groups:Post April 2024 - Corporate Services &amp; Inspectorates:Corporate Services &amp; Inspectorates (CSI) - Welsh Treasury - Tax Strategy and Intergovernmental Relations:1 - Save:Research:Tax Strategy and Policy :Tax Policy work plan &amp; reports :Welsh Treasury - Tax Policy Report - 2020-2026:2024 Welsh Tax Policy Report:</vt:lpwstr>
  </property>
  <property fmtid="{D5CDD505-2E9C-101B-9397-08002B2CF9AE}" pid="13" name="Objective-Parent">
    <vt:lpwstr>2024 Welsh Tax Policy Report</vt:lpwstr>
  </property>
  <property fmtid="{D5CDD505-2E9C-101B-9397-08002B2CF9AE}" pid="14" name="Objective-State">
    <vt:lpwstr>Published</vt:lpwstr>
  </property>
  <property fmtid="{D5CDD505-2E9C-101B-9397-08002B2CF9AE}" pid="15" name="Objective-Version">
    <vt:lpwstr>49.0</vt:lpwstr>
  </property>
  <property fmtid="{D5CDD505-2E9C-101B-9397-08002B2CF9AE}" pid="16" name="Objective-VersionNumber">
    <vt:r8>50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vA101889860</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0x010100739205D88DC4F44CB1CA8437F92B0221</vt:lpwstr>
  </property>
</Properties>
</file>