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CB8E" w14:textId="5E77F256" w:rsidR="001A39E2" w:rsidRDefault="001A39E2" w:rsidP="001A39E2">
      <w:pPr>
        <w:jc w:val="right"/>
        <w:rPr>
          <w:b/>
        </w:rPr>
      </w:pPr>
    </w:p>
    <w:p w14:paraId="4BFBBF0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9EE3B8" wp14:editId="3F92F3A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D70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3DB80F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6EEC03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0510B4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02B2C1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399C6B4" wp14:editId="3D689EF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33DA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1C98D70" w14:textId="77777777" w:rsidTr="001E348F">
        <w:tc>
          <w:tcPr>
            <w:tcW w:w="1383" w:type="dxa"/>
            <w:tcBorders>
              <w:top w:val="nil"/>
              <w:left w:val="nil"/>
              <w:bottom w:val="nil"/>
              <w:right w:val="nil"/>
            </w:tcBorders>
          </w:tcPr>
          <w:p w14:paraId="56D07B59" w14:textId="77777777" w:rsidR="001E348F" w:rsidRDefault="001E348F" w:rsidP="001E348F">
            <w:pPr>
              <w:spacing w:before="120" w:after="120"/>
              <w:rPr>
                <w:rFonts w:ascii="Arial" w:hAnsi="Arial" w:cs="Arial"/>
                <w:b/>
                <w:bCs/>
                <w:sz w:val="24"/>
                <w:szCs w:val="24"/>
              </w:rPr>
            </w:pPr>
          </w:p>
          <w:p w14:paraId="434835B8" w14:textId="102AD8EB" w:rsidR="00EA5290" w:rsidRPr="00BB62A8" w:rsidRDefault="00560F1F" w:rsidP="001E348F">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622C8F4" w14:textId="77777777" w:rsidR="001E348F" w:rsidRDefault="001E348F" w:rsidP="004F1723">
            <w:pPr>
              <w:spacing w:before="120" w:after="120"/>
              <w:rPr>
                <w:rFonts w:ascii="Arial" w:hAnsi="Arial" w:cs="Arial"/>
                <w:b/>
                <w:bCs/>
                <w:sz w:val="24"/>
                <w:szCs w:val="24"/>
              </w:rPr>
            </w:pPr>
          </w:p>
          <w:p w14:paraId="756E413C" w14:textId="2B413548" w:rsidR="00EA5290" w:rsidRPr="00670227" w:rsidRDefault="00EB104B" w:rsidP="00EB104B">
            <w:pPr>
              <w:spacing w:before="120" w:after="120"/>
              <w:rPr>
                <w:rFonts w:ascii="Arial" w:hAnsi="Arial" w:cs="Arial"/>
                <w:b/>
                <w:bCs/>
                <w:sz w:val="24"/>
                <w:szCs w:val="24"/>
              </w:rPr>
            </w:pPr>
            <w:r>
              <w:rPr>
                <w:rFonts w:ascii="Arial" w:hAnsi="Arial" w:cs="Arial"/>
                <w:b/>
                <w:bCs/>
                <w:sz w:val="24"/>
                <w:szCs w:val="24"/>
              </w:rPr>
              <w:t xml:space="preserve">Implementation of the </w:t>
            </w:r>
            <w:r w:rsidR="006F5B4D">
              <w:rPr>
                <w:rFonts w:ascii="Arial" w:hAnsi="Arial" w:cs="Arial"/>
                <w:b/>
                <w:bCs/>
                <w:sz w:val="24"/>
                <w:szCs w:val="24"/>
              </w:rPr>
              <w:t>Renting Homes (Wales) Act 2016</w:t>
            </w:r>
            <w:r w:rsidR="00D33F19">
              <w:rPr>
                <w:rFonts w:ascii="Arial" w:hAnsi="Arial" w:cs="Arial"/>
                <w:b/>
                <w:bCs/>
                <w:sz w:val="24"/>
                <w:szCs w:val="24"/>
              </w:rPr>
              <w:t>: laying of the</w:t>
            </w:r>
            <w:r w:rsidR="008D3DE0">
              <w:rPr>
                <w:rFonts w:ascii="Arial" w:hAnsi="Arial" w:cs="Arial"/>
                <w:b/>
                <w:bCs/>
                <w:sz w:val="24"/>
                <w:szCs w:val="24"/>
              </w:rPr>
              <w:t xml:space="preserve"> affirmative instruments in the</w:t>
            </w:r>
            <w:r w:rsidR="00D33F19">
              <w:rPr>
                <w:rFonts w:ascii="Arial" w:hAnsi="Arial" w:cs="Arial"/>
                <w:b/>
                <w:bCs/>
                <w:sz w:val="24"/>
                <w:szCs w:val="24"/>
              </w:rPr>
              <w:t xml:space="preserve"> </w:t>
            </w:r>
            <w:r w:rsidR="00A54596">
              <w:rPr>
                <w:rFonts w:ascii="Arial" w:hAnsi="Arial" w:cs="Arial"/>
                <w:b/>
                <w:bCs/>
                <w:sz w:val="24"/>
                <w:szCs w:val="24"/>
              </w:rPr>
              <w:t>third</w:t>
            </w:r>
            <w:r w:rsidR="00D33F19">
              <w:rPr>
                <w:rFonts w:ascii="Arial" w:hAnsi="Arial" w:cs="Arial"/>
                <w:b/>
                <w:bCs/>
                <w:sz w:val="24"/>
                <w:szCs w:val="24"/>
              </w:rPr>
              <w:t xml:space="preserve"> tranche of subordinate legislation</w:t>
            </w:r>
          </w:p>
        </w:tc>
      </w:tr>
      <w:tr w:rsidR="00EA5290" w:rsidRPr="00A011A1" w14:paraId="48CD61AE" w14:textId="77777777" w:rsidTr="00B049B1">
        <w:tc>
          <w:tcPr>
            <w:tcW w:w="1383" w:type="dxa"/>
            <w:tcBorders>
              <w:top w:val="nil"/>
              <w:left w:val="nil"/>
              <w:bottom w:val="nil"/>
              <w:right w:val="nil"/>
            </w:tcBorders>
            <w:vAlign w:val="center"/>
          </w:tcPr>
          <w:p w14:paraId="4C43D83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1CB2167" w14:textId="15432F73" w:rsidR="00EA5290" w:rsidRPr="00EF6A56" w:rsidRDefault="00A54596" w:rsidP="00EC3413">
            <w:pPr>
              <w:spacing w:before="120" w:after="120"/>
              <w:rPr>
                <w:rFonts w:ascii="Arial" w:hAnsi="Arial" w:cs="Arial"/>
                <w:b/>
                <w:bCs/>
                <w:sz w:val="24"/>
                <w:szCs w:val="24"/>
              </w:rPr>
            </w:pPr>
            <w:r>
              <w:rPr>
                <w:rFonts w:ascii="Arial" w:hAnsi="Arial" w:cs="Arial"/>
                <w:b/>
                <w:bCs/>
                <w:sz w:val="24"/>
                <w:szCs w:val="24"/>
              </w:rPr>
              <w:t>21</w:t>
            </w:r>
            <w:r w:rsidR="00D33F19" w:rsidRPr="00EF6A56">
              <w:rPr>
                <w:rFonts w:ascii="Arial" w:hAnsi="Arial" w:cs="Arial"/>
                <w:b/>
                <w:bCs/>
                <w:sz w:val="24"/>
                <w:szCs w:val="24"/>
              </w:rPr>
              <w:t xml:space="preserve"> </w:t>
            </w:r>
            <w:r>
              <w:rPr>
                <w:rFonts w:ascii="Arial" w:hAnsi="Arial" w:cs="Arial"/>
                <w:b/>
                <w:bCs/>
                <w:sz w:val="24"/>
                <w:szCs w:val="24"/>
              </w:rPr>
              <w:t>June</w:t>
            </w:r>
            <w:r w:rsidR="009A0D0D" w:rsidRPr="00EF6A56">
              <w:rPr>
                <w:rFonts w:ascii="Arial" w:hAnsi="Arial" w:cs="Arial"/>
                <w:b/>
                <w:bCs/>
                <w:sz w:val="24"/>
                <w:szCs w:val="24"/>
              </w:rPr>
              <w:t xml:space="preserve"> </w:t>
            </w:r>
            <w:r w:rsidR="00500E1A" w:rsidRPr="00EF6A56">
              <w:rPr>
                <w:rFonts w:ascii="Arial" w:hAnsi="Arial" w:cs="Arial"/>
                <w:b/>
                <w:bCs/>
                <w:sz w:val="24"/>
                <w:szCs w:val="24"/>
              </w:rPr>
              <w:t>202</w:t>
            </w:r>
            <w:r w:rsidR="006F5B4D" w:rsidRPr="00EF6A56">
              <w:rPr>
                <w:rFonts w:ascii="Arial" w:hAnsi="Arial" w:cs="Arial"/>
                <w:b/>
                <w:bCs/>
                <w:sz w:val="24"/>
                <w:szCs w:val="24"/>
              </w:rPr>
              <w:t>2</w:t>
            </w:r>
          </w:p>
        </w:tc>
      </w:tr>
      <w:tr w:rsidR="00EA5290" w:rsidRPr="00A011A1" w14:paraId="5893D51A" w14:textId="77777777" w:rsidTr="00B049B1">
        <w:tc>
          <w:tcPr>
            <w:tcW w:w="1383" w:type="dxa"/>
            <w:tcBorders>
              <w:top w:val="nil"/>
              <w:left w:val="nil"/>
              <w:bottom w:val="nil"/>
              <w:right w:val="nil"/>
            </w:tcBorders>
            <w:vAlign w:val="center"/>
          </w:tcPr>
          <w:p w14:paraId="0A29345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9C8D4AD" w14:textId="0BA95404" w:rsidR="00EA5290" w:rsidRPr="00670227" w:rsidRDefault="00000FA1" w:rsidP="006036BC">
            <w:pPr>
              <w:spacing w:before="120" w:after="120"/>
              <w:rPr>
                <w:rFonts w:ascii="Arial" w:hAnsi="Arial" w:cs="Arial"/>
                <w:b/>
                <w:bCs/>
                <w:sz w:val="24"/>
                <w:szCs w:val="24"/>
              </w:rPr>
            </w:pPr>
            <w:r>
              <w:rPr>
                <w:rFonts w:ascii="Arial" w:hAnsi="Arial" w:cs="Arial"/>
                <w:b/>
                <w:bCs/>
                <w:sz w:val="24"/>
                <w:szCs w:val="24"/>
              </w:rPr>
              <w:t xml:space="preserve">Julie James, </w:t>
            </w:r>
            <w:r w:rsidR="007C07F1">
              <w:rPr>
                <w:rFonts w:ascii="Arial" w:hAnsi="Arial" w:cs="Arial"/>
                <w:b/>
                <w:bCs/>
                <w:sz w:val="24"/>
                <w:szCs w:val="24"/>
              </w:rPr>
              <w:t xml:space="preserve">Minister for </w:t>
            </w:r>
            <w:r w:rsidR="006036BC">
              <w:rPr>
                <w:rFonts w:ascii="Arial" w:hAnsi="Arial" w:cs="Arial"/>
                <w:b/>
                <w:bCs/>
                <w:sz w:val="24"/>
                <w:szCs w:val="24"/>
              </w:rPr>
              <w:t>Climate Change</w:t>
            </w:r>
          </w:p>
        </w:tc>
      </w:tr>
    </w:tbl>
    <w:p w14:paraId="080E1FDE" w14:textId="37632408" w:rsidR="00EA5290" w:rsidRDefault="00EA5290" w:rsidP="00EA5290">
      <w:pPr>
        <w:pStyle w:val="BodyText"/>
        <w:jc w:val="left"/>
        <w:rPr>
          <w:lang w:val="en-US"/>
        </w:rPr>
      </w:pPr>
    </w:p>
    <w:p w14:paraId="6CB08031" w14:textId="7C87289C" w:rsidR="00D33F19" w:rsidRPr="003A08BF" w:rsidRDefault="00A54596" w:rsidP="00DA7335">
      <w:pPr>
        <w:spacing w:after="200" w:line="276" w:lineRule="auto"/>
        <w:contextualSpacing/>
        <w:rPr>
          <w:rFonts w:ascii="Arial" w:hAnsi="Arial" w:cs="Arial"/>
          <w:sz w:val="12"/>
          <w:szCs w:val="24"/>
        </w:rPr>
      </w:pPr>
      <w:r>
        <w:rPr>
          <w:rFonts w:ascii="Arial" w:hAnsi="Arial" w:cs="Arial"/>
          <w:sz w:val="24"/>
          <w:szCs w:val="24"/>
        </w:rPr>
        <w:t xml:space="preserve">I recently announced that the </w:t>
      </w:r>
      <w:r w:rsidR="008F0295">
        <w:rPr>
          <w:rFonts w:ascii="Arial" w:hAnsi="Arial" w:cs="Arial"/>
          <w:sz w:val="24"/>
          <w:szCs w:val="24"/>
        </w:rPr>
        <w:t xml:space="preserve">provisions of the </w:t>
      </w:r>
      <w:r>
        <w:rPr>
          <w:rFonts w:ascii="Arial" w:hAnsi="Arial" w:cs="Arial"/>
          <w:sz w:val="24"/>
          <w:szCs w:val="24"/>
        </w:rPr>
        <w:t>Renting Homes (Wales) Act 2016 would</w:t>
      </w:r>
      <w:r w:rsidR="008F0295">
        <w:rPr>
          <w:rFonts w:ascii="Arial" w:hAnsi="Arial" w:cs="Arial"/>
          <w:sz w:val="24"/>
          <w:szCs w:val="24"/>
        </w:rPr>
        <w:t xml:space="preserve"> be brought into force on 1 December 2022.</w:t>
      </w:r>
      <w:r>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006F5B4D" w:rsidRPr="00DA7335">
        <w:rPr>
          <w:rFonts w:ascii="Arial" w:hAnsi="Arial" w:cs="Arial"/>
          <w:sz w:val="24"/>
          <w:szCs w:val="24"/>
        </w:rPr>
        <w:t>Today</w:t>
      </w:r>
      <w:r w:rsidR="009F2679">
        <w:rPr>
          <w:rFonts w:ascii="Arial" w:hAnsi="Arial" w:cs="Arial"/>
          <w:sz w:val="24"/>
          <w:szCs w:val="24"/>
        </w:rPr>
        <w:t>,</w:t>
      </w:r>
      <w:r w:rsidR="006F5B4D" w:rsidRPr="00DA7335">
        <w:rPr>
          <w:rFonts w:ascii="Arial" w:hAnsi="Arial" w:cs="Arial"/>
          <w:sz w:val="24"/>
          <w:szCs w:val="24"/>
        </w:rPr>
        <w:t xml:space="preserve"> I </w:t>
      </w:r>
      <w:r w:rsidR="00D33F19">
        <w:rPr>
          <w:rFonts w:ascii="Arial" w:hAnsi="Arial" w:cs="Arial"/>
          <w:sz w:val="24"/>
          <w:szCs w:val="24"/>
        </w:rPr>
        <w:t xml:space="preserve">have laid </w:t>
      </w:r>
      <w:r w:rsidR="008D3DE0">
        <w:rPr>
          <w:rFonts w:ascii="Arial" w:hAnsi="Arial" w:cs="Arial"/>
          <w:sz w:val="24"/>
          <w:szCs w:val="24"/>
        </w:rPr>
        <w:t xml:space="preserve">part of </w:t>
      </w:r>
      <w:r w:rsidR="00D33F19">
        <w:rPr>
          <w:rFonts w:ascii="Arial" w:hAnsi="Arial" w:cs="Arial"/>
          <w:sz w:val="24"/>
          <w:szCs w:val="24"/>
        </w:rPr>
        <w:t xml:space="preserve">the </w:t>
      </w:r>
      <w:r>
        <w:rPr>
          <w:rFonts w:ascii="Arial" w:hAnsi="Arial" w:cs="Arial"/>
          <w:sz w:val="24"/>
          <w:szCs w:val="24"/>
        </w:rPr>
        <w:t>third</w:t>
      </w:r>
      <w:r w:rsidR="00D33F19">
        <w:rPr>
          <w:rFonts w:ascii="Arial" w:hAnsi="Arial" w:cs="Arial"/>
          <w:sz w:val="24"/>
          <w:szCs w:val="24"/>
        </w:rPr>
        <w:t xml:space="preserve"> tranche of subordinate legislation required to support the implementation of th</w:t>
      </w:r>
      <w:r w:rsidR="008F0295">
        <w:rPr>
          <w:rFonts w:ascii="Arial" w:hAnsi="Arial" w:cs="Arial"/>
          <w:sz w:val="24"/>
          <w:szCs w:val="24"/>
        </w:rPr>
        <w:t>e</w:t>
      </w:r>
      <w:r w:rsidR="00D33F19">
        <w:rPr>
          <w:rFonts w:ascii="Arial" w:hAnsi="Arial" w:cs="Arial"/>
          <w:sz w:val="24"/>
          <w:szCs w:val="24"/>
        </w:rPr>
        <w:t xml:space="preserve"> 2016</w:t>
      </w:r>
      <w:r w:rsidR="008F0295">
        <w:rPr>
          <w:rFonts w:ascii="Arial" w:hAnsi="Arial" w:cs="Arial"/>
          <w:sz w:val="24"/>
          <w:szCs w:val="24"/>
        </w:rPr>
        <w:t xml:space="preserve"> Act</w:t>
      </w:r>
      <w:r w:rsidR="00D33F19">
        <w:rPr>
          <w:rFonts w:ascii="Arial" w:hAnsi="Arial" w:cs="Arial"/>
          <w:sz w:val="24"/>
          <w:szCs w:val="24"/>
        </w:rPr>
        <w:t xml:space="preserve">.  </w:t>
      </w:r>
      <w:r w:rsidR="00002E83">
        <w:rPr>
          <w:rFonts w:ascii="Arial" w:hAnsi="Arial" w:cs="Arial"/>
          <w:sz w:val="24"/>
          <w:szCs w:val="24"/>
        </w:rPr>
        <w:br/>
      </w:r>
      <w:r w:rsidR="00002E83" w:rsidRPr="003A08BF">
        <w:rPr>
          <w:rFonts w:ascii="Arial" w:hAnsi="Arial" w:cs="Arial"/>
          <w:sz w:val="12"/>
          <w:szCs w:val="24"/>
        </w:rPr>
        <w:br/>
      </w:r>
    </w:p>
    <w:p w14:paraId="2A9C5E03" w14:textId="3FD84FC7" w:rsidR="008F0295" w:rsidRDefault="00D33F19" w:rsidP="00D33F19">
      <w:pPr>
        <w:spacing w:after="200" w:line="276" w:lineRule="auto"/>
        <w:contextualSpacing/>
        <w:rPr>
          <w:rFonts w:ascii="Arial" w:hAnsi="Arial" w:cs="Arial"/>
          <w:sz w:val="24"/>
          <w:szCs w:val="24"/>
        </w:rPr>
      </w:pPr>
      <w:r>
        <w:rPr>
          <w:rFonts w:ascii="Arial" w:hAnsi="Arial" w:cs="Arial"/>
          <w:sz w:val="24"/>
          <w:szCs w:val="24"/>
        </w:rPr>
        <w:t xml:space="preserve">There are </w:t>
      </w:r>
      <w:r w:rsidR="008D3DE0">
        <w:rPr>
          <w:rFonts w:ascii="Arial" w:hAnsi="Arial" w:cs="Arial"/>
          <w:sz w:val="24"/>
          <w:szCs w:val="24"/>
        </w:rPr>
        <w:t>seven substantive</w:t>
      </w:r>
      <w:r w:rsidR="008D3DE0" w:rsidRPr="00AD1F2C">
        <w:rPr>
          <w:rFonts w:ascii="Arial" w:hAnsi="Arial" w:cs="Arial"/>
          <w:sz w:val="24"/>
          <w:szCs w:val="24"/>
        </w:rPr>
        <w:t xml:space="preserve"> </w:t>
      </w:r>
      <w:r w:rsidRPr="00AD1F2C">
        <w:rPr>
          <w:rFonts w:ascii="Arial" w:hAnsi="Arial" w:cs="Arial"/>
          <w:sz w:val="24"/>
          <w:szCs w:val="24"/>
        </w:rPr>
        <w:t>sta</w:t>
      </w:r>
      <w:r>
        <w:rPr>
          <w:rFonts w:ascii="Arial" w:hAnsi="Arial" w:cs="Arial"/>
          <w:sz w:val="24"/>
          <w:szCs w:val="24"/>
        </w:rPr>
        <w:t xml:space="preserve">tutory instruments in this </w:t>
      </w:r>
      <w:r w:rsidR="00A54596">
        <w:rPr>
          <w:rFonts w:ascii="Arial" w:hAnsi="Arial" w:cs="Arial"/>
          <w:sz w:val="24"/>
          <w:szCs w:val="24"/>
        </w:rPr>
        <w:t>third</w:t>
      </w:r>
      <w:r w:rsidRPr="00AD1F2C">
        <w:rPr>
          <w:rFonts w:ascii="Arial" w:hAnsi="Arial" w:cs="Arial"/>
          <w:sz w:val="24"/>
          <w:szCs w:val="24"/>
        </w:rPr>
        <w:t xml:space="preserve"> tranche</w:t>
      </w:r>
      <w:r w:rsidR="008D3DE0">
        <w:rPr>
          <w:rFonts w:ascii="Arial" w:hAnsi="Arial" w:cs="Arial"/>
          <w:sz w:val="24"/>
          <w:szCs w:val="24"/>
        </w:rPr>
        <w:t xml:space="preserve">. The four instruments laid today are </w:t>
      </w:r>
      <w:r w:rsidR="00A54596">
        <w:rPr>
          <w:rFonts w:ascii="Arial" w:hAnsi="Arial" w:cs="Arial"/>
          <w:sz w:val="24"/>
          <w:szCs w:val="24"/>
        </w:rPr>
        <w:t>all being made via the Senedd’s affirmative procedure and</w:t>
      </w:r>
      <w:r w:rsidR="008D3DE0">
        <w:rPr>
          <w:rFonts w:ascii="Arial" w:hAnsi="Arial" w:cs="Arial"/>
          <w:sz w:val="24"/>
          <w:szCs w:val="24"/>
        </w:rPr>
        <w:t xml:space="preserve"> are</w:t>
      </w:r>
      <w:r w:rsidR="00A54596">
        <w:rPr>
          <w:rFonts w:ascii="Arial" w:hAnsi="Arial" w:cs="Arial"/>
          <w:sz w:val="24"/>
          <w:szCs w:val="24"/>
        </w:rPr>
        <w:t xml:space="preserve"> scheduled for plenary debate on 12 July 2022.</w:t>
      </w:r>
      <w:r w:rsidR="008F0295">
        <w:rPr>
          <w:rFonts w:ascii="Arial" w:hAnsi="Arial" w:cs="Arial"/>
          <w:sz w:val="24"/>
          <w:szCs w:val="24"/>
        </w:rPr>
        <w:t xml:space="preserve">  They are:</w:t>
      </w:r>
    </w:p>
    <w:p w14:paraId="639C0B6B" w14:textId="77777777" w:rsidR="008F0295" w:rsidRPr="008135A0" w:rsidRDefault="008F0295" w:rsidP="008F0295">
      <w:pPr>
        <w:pStyle w:val="ListParagraph"/>
        <w:ind w:left="0"/>
        <w:contextualSpacing/>
        <w:rPr>
          <w:rFonts w:ascii="Arial" w:hAnsi="Arial" w:cs="Arial"/>
          <w:iCs/>
          <w:sz w:val="12"/>
          <w:szCs w:val="12"/>
        </w:rPr>
      </w:pPr>
      <w:r w:rsidRPr="009347A2">
        <w:rPr>
          <w:rFonts w:ascii="Arial" w:hAnsi="Arial" w:cs="Arial"/>
          <w:b/>
          <w:i/>
          <w:iCs/>
          <w:sz w:val="24"/>
          <w:szCs w:val="24"/>
        </w:rPr>
        <w:t>The Renting Homes (</w:t>
      </w:r>
      <w:r>
        <w:rPr>
          <w:rFonts w:ascii="Arial" w:hAnsi="Arial" w:cs="Arial"/>
          <w:b/>
          <w:i/>
          <w:iCs/>
          <w:sz w:val="24"/>
          <w:szCs w:val="24"/>
        </w:rPr>
        <w:t>Wales</w:t>
      </w:r>
      <w:r w:rsidRPr="009347A2">
        <w:rPr>
          <w:rFonts w:ascii="Arial" w:hAnsi="Arial" w:cs="Arial"/>
          <w:b/>
          <w:i/>
          <w:iCs/>
          <w:sz w:val="24"/>
          <w:szCs w:val="24"/>
        </w:rPr>
        <w:t xml:space="preserve">) </w:t>
      </w:r>
      <w:r>
        <w:rPr>
          <w:rFonts w:ascii="Arial" w:hAnsi="Arial" w:cs="Arial"/>
          <w:b/>
          <w:i/>
          <w:iCs/>
          <w:sz w:val="24"/>
          <w:szCs w:val="24"/>
        </w:rPr>
        <w:t xml:space="preserve">Act 2016 </w:t>
      </w:r>
      <w:r w:rsidRPr="009347A2">
        <w:rPr>
          <w:rFonts w:ascii="Arial" w:hAnsi="Arial" w:cs="Arial"/>
          <w:b/>
          <w:i/>
          <w:iCs/>
          <w:sz w:val="24"/>
          <w:szCs w:val="24"/>
        </w:rPr>
        <w:t>(</w:t>
      </w:r>
      <w:r>
        <w:rPr>
          <w:rFonts w:ascii="Arial" w:hAnsi="Arial" w:cs="Arial"/>
          <w:b/>
          <w:i/>
          <w:iCs/>
          <w:sz w:val="24"/>
          <w:szCs w:val="24"/>
        </w:rPr>
        <w:t>Amendment</w:t>
      </w:r>
      <w:r w:rsidRPr="009347A2">
        <w:rPr>
          <w:rFonts w:ascii="Arial" w:hAnsi="Arial" w:cs="Arial"/>
          <w:b/>
          <w:i/>
          <w:iCs/>
          <w:sz w:val="24"/>
          <w:szCs w:val="24"/>
        </w:rPr>
        <w:t>) Regulations 2022</w:t>
      </w:r>
      <w:r w:rsidRPr="009347A2">
        <w:rPr>
          <w:rFonts w:ascii="Arial" w:hAnsi="Arial" w:cs="Arial"/>
          <w:b/>
          <w:i/>
          <w:iCs/>
          <w:sz w:val="24"/>
          <w:szCs w:val="24"/>
        </w:rPr>
        <w:br/>
      </w:r>
    </w:p>
    <w:p w14:paraId="746F01B4" w14:textId="77777777" w:rsidR="008F0295" w:rsidRPr="008141CA" w:rsidRDefault="008F0295" w:rsidP="008F0295">
      <w:pPr>
        <w:rPr>
          <w:rFonts w:ascii="Arial" w:hAnsi="Arial" w:cs="Arial"/>
          <w:iCs/>
          <w:sz w:val="24"/>
          <w:szCs w:val="24"/>
        </w:rPr>
      </w:pPr>
      <w:r w:rsidRPr="008141CA">
        <w:rPr>
          <w:rFonts w:ascii="Arial" w:hAnsi="Arial" w:cs="Arial"/>
          <w:iCs/>
          <w:sz w:val="24"/>
          <w:szCs w:val="24"/>
        </w:rPr>
        <w:t>This SI makes a series of amendments to Schedules 2, 3, 8A, 9, 9B and 9C of the 2016 Act.</w:t>
      </w:r>
    </w:p>
    <w:p w14:paraId="61A13D91" w14:textId="78FDA887" w:rsidR="008F0295" w:rsidRPr="008F0295" w:rsidRDefault="007439FE" w:rsidP="008F0295">
      <w:pPr>
        <w:pStyle w:val="ListParagraph"/>
        <w:ind w:left="0"/>
        <w:rPr>
          <w:rFonts w:ascii="Arial" w:hAnsi="Arial" w:cs="Arial"/>
          <w:iCs/>
          <w:sz w:val="36"/>
          <w:szCs w:val="36"/>
        </w:rPr>
      </w:pPr>
      <w:r>
        <w:rPr>
          <w:rFonts w:ascii="Arial" w:hAnsi="Arial" w:cs="Arial"/>
          <w:iCs/>
          <w:sz w:val="24"/>
          <w:szCs w:val="24"/>
        </w:rPr>
        <w:t xml:space="preserve">These amendments </w:t>
      </w:r>
      <w:r w:rsidR="00546A88">
        <w:rPr>
          <w:rFonts w:ascii="Arial" w:hAnsi="Arial" w:cs="Arial"/>
          <w:iCs/>
          <w:sz w:val="24"/>
          <w:szCs w:val="24"/>
        </w:rPr>
        <w:t>provide that</w:t>
      </w:r>
      <w:r>
        <w:rPr>
          <w:rFonts w:ascii="Arial" w:hAnsi="Arial" w:cs="Arial"/>
          <w:iCs/>
          <w:sz w:val="24"/>
          <w:szCs w:val="24"/>
        </w:rPr>
        <w:t xml:space="preserve"> </w:t>
      </w:r>
      <w:r w:rsidR="00546A88">
        <w:rPr>
          <w:rFonts w:ascii="Arial" w:hAnsi="Arial" w:cs="Arial"/>
          <w:iCs/>
          <w:sz w:val="24"/>
          <w:szCs w:val="24"/>
        </w:rPr>
        <w:t xml:space="preserve">tenancies or licences concerning </w:t>
      </w:r>
      <w:r>
        <w:rPr>
          <w:rFonts w:ascii="Arial" w:hAnsi="Arial" w:cs="Arial"/>
          <w:iCs/>
          <w:sz w:val="24"/>
          <w:szCs w:val="24"/>
        </w:rPr>
        <w:t>certain</w:t>
      </w:r>
      <w:r w:rsidR="00546A88">
        <w:rPr>
          <w:rFonts w:ascii="Arial" w:hAnsi="Arial" w:cs="Arial"/>
          <w:iCs/>
          <w:sz w:val="24"/>
          <w:szCs w:val="24"/>
        </w:rPr>
        <w:t xml:space="preserve"> kinds of</w:t>
      </w:r>
      <w:r>
        <w:rPr>
          <w:rFonts w:ascii="Arial" w:hAnsi="Arial" w:cs="Arial"/>
          <w:iCs/>
          <w:sz w:val="24"/>
          <w:szCs w:val="24"/>
        </w:rPr>
        <w:t xml:space="preserve"> </w:t>
      </w:r>
      <w:r w:rsidR="008F0295" w:rsidRPr="00852FB4">
        <w:rPr>
          <w:rFonts w:ascii="Arial" w:hAnsi="Arial" w:cs="Arial"/>
          <w:iCs/>
          <w:sz w:val="24"/>
          <w:szCs w:val="24"/>
        </w:rPr>
        <w:t xml:space="preserve">accommodation related to bail </w:t>
      </w:r>
      <w:r>
        <w:rPr>
          <w:rFonts w:ascii="Arial" w:hAnsi="Arial" w:cs="Arial"/>
          <w:iCs/>
          <w:sz w:val="24"/>
          <w:szCs w:val="24"/>
        </w:rPr>
        <w:t>or</w:t>
      </w:r>
      <w:r w:rsidRPr="00852FB4">
        <w:rPr>
          <w:rFonts w:ascii="Arial" w:hAnsi="Arial" w:cs="Arial"/>
          <w:iCs/>
          <w:sz w:val="24"/>
          <w:szCs w:val="24"/>
        </w:rPr>
        <w:t xml:space="preserve"> </w:t>
      </w:r>
      <w:r w:rsidR="008F0295" w:rsidRPr="00852FB4">
        <w:rPr>
          <w:rFonts w:ascii="Arial" w:hAnsi="Arial" w:cs="Arial"/>
          <w:iCs/>
          <w:sz w:val="24"/>
          <w:szCs w:val="24"/>
        </w:rPr>
        <w:t>probation</w:t>
      </w:r>
      <w:r w:rsidR="008F0295">
        <w:rPr>
          <w:rFonts w:ascii="Arial" w:hAnsi="Arial" w:cs="Arial"/>
          <w:iCs/>
          <w:sz w:val="24"/>
          <w:szCs w:val="24"/>
        </w:rPr>
        <w:t>,</w:t>
      </w:r>
      <w:r w:rsidR="008F0295" w:rsidRPr="00852FB4">
        <w:rPr>
          <w:rFonts w:ascii="Arial" w:hAnsi="Arial" w:cs="Arial"/>
          <w:iCs/>
          <w:sz w:val="24"/>
          <w:szCs w:val="24"/>
        </w:rPr>
        <w:t xml:space="preserve"> </w:t>
      </w:r>
      <w:r>
        <w:rPr>
          <w:rFonts w:ascii="Arial" w:hAnsi="Arial" w:cs="Arial"/>
          <w:iCs/>
          <w:sz w:val="24"/>
          <w:szCs w:val="24"/>
        </w:rPr>
        <w:t>or to</w:t>
      </w:r>
      <w:r w:rsidR="008F0295" w:rsidRPr="00852FB4">
        <w:rPr>
          <w:rFonts w:ascii="Arial" w:hAnsi="Arial" w:cs="Arial"/>
          <w:iCs/>
          <w:sz w:val="24"/>
          <w:szCs w:val="24"/>
        </w:rPr>
        <w:t xml:space="preserve"> immigration and asylum</w:t>
      </w:r>
      <w:r w:rsidR="008F0295">
        <w:rPr>
          <w:rFonts w:ascii="Arial" w:hAnsi="Arial" w:cs="Arial"/>
          <w:iCs/>
          <w:sz w:val="24"/>
          <w:szCs w:val="24"/>
        </w:rPr>
        <w:t>,</w:t>
      </w:r>
      <w:r w:rsidR="008F0295" w:rsidRPr="00852FB4">
        <w:rPr>
          <w:rFonts w:ascii="Arial" w:hAnsi="Arial" w:cs="Arial"/>
          <w:iCs/>
          <w:sz w:val="24"/>
          <w:szCs w:val="24"/>
        </w:rPr>
        <w:t xml:space="preserve"> are </w:t>
      </w:r>
      <w:r w:rsidR="00546A88">
        <w:rPr>
          <w:rFonts w:ascii="Arial" w:hAnsi="Arial" w:cs="Arial"/>
          <w:iCs/>
          <w:sz w:val="24"/>
          <w:szCs w:val="24"/>
        </w:rPr>
        <w:t xml:space="preserve">not occupation contracts. The amendments also </w:t>
      </w:r>
      <w:r w:rsidR="00871EC7">
        <w:rPr>
          <w:rFonts w:ascii="Arial" w:hAnsi="Arial" w:cs="Arial"/>
          <w:iCs/>
          <w:sz w:val="24"/>
          <w:szCs w:val="24"/>
        </w:rPr>
        <w:t>reflect some recent changes to the law relating to the provision of this accommodation</w:t>
      </w:r>
      <w:r w:rsidR="00546A88">
        <w:rPr>
          <w:rFonts w:ascii="Arial" w:hAnsi="Arial" w:cs="Arial"/>
          <w:iCs/>
          <w:sz w:val="24"/>
          <w:szCs w:val="24"/>
        </w:rPr>
        <w:t>.</w:t>
      </w:r>
      <w:r w:rsidR="008F0295" w:rsidRPr="006912AA">
        <w:rPr>
          <w:rFonts w:ascii="Arial" w:hAnsi="Arial" w:cs="Arial"/>
          <w:iCs/>
          <w:sz w:val="24"/>
          <w:szCs w:val="24"/>
        </w:rPr>
        <w:br/>
      </w:r>
    </w:p>
    <w:p w14:paraId="01C3C22A" w14:textId="77777777" w:rsidR="008F0295" w:rsidRPr="004A0F56" w:rsidRDefault="008F0295" w:rsidP="008F0295">
      <w:pPr>
        <w:pStyle w:val="ListParagraph"/>
        <w:spacing w:after="160" w:line="259" w:lineRule="auto"/>
        <w:ind w:left="0"/>
        <w:contextualSpacing/>
        <w:rPr>
          <w:rFonts w:ascii="Arial" w:hAnsi="Arial" w:cs="Arial"/>
          <w:sz w:val="12"/>
          <w:szCs w:val="12"/>
        </w:rPr>
      </w:pPr>
      <w:r w:rsidRPr="004A0F56">
        <w:rPr>
          <w:rFonts w:ascii="Arial" w:hAnsi="Arial" w:cs="Arial"/>
          <w:b/>
          <w:i/>
          <w:iCs/>
          <w:sz w:val="24"/>
          <w:szCs w:val="24"/>
        </w:rPr>
        <w:t>The Renting Homes (Wales) Act 2016 (Amendment of Schedule 12) Regulations 2022</w:t>
      </w:r>
      <w:r w:rsidRPr="004A0F56">
        <w:rPr>
          <w:rFonts w:ascii="Arial" w:hAnsi="Arial" w:cs="Arial"/>
          <w:b/>
          <w:i/>
          <w:iCs/>
          <w:sz w:val="24"/>
          <w:szCs w:val="24"/>
        </w:rPr>
        <w:br/>
      </w:r>
      <w:r w:rsidRPr="004A0F56">
        <w:rPr>
          <w:rFonts w:ascii="Arial" w:hAnsi="Arial" w:cs="Arial"/>
          <w:iCs/>
          <w:sz w:val="12"/>
          <w:szCs w:val="12"/>
        </w:rPr>
        <w:br/>
      </w:r>
      <w:r w:rsidRPr="004A0F56">
        <w:rPr>
          <w:rFonts w:ascii="Arial" w:hAnsi="Arial" w:cs="Arial"/>
          <w:sz w:val="24"/>
          <w:szCs w:val="24"/>
        </w:rPr>
        <w:t xml:space="preserve">Schedule 12 sets out arrangements for tenancies and licences currently in existence which will convert into occupation contracts when the 2016 Act comes into force.  The purpose of the Schedule is to ensure that the transition is as seamless as possible and that the parties to existing tenancies and licences are treated fairly when their tenancy or licence undergoes conversion into an occupation contract, with the correct balance being struck in respect of both parties’ rights and obligations.  </w:t>
      </w:r>
      <w:r w:rsidRPr="004A0F56">
        <w:rPr>
          <w:rFonts w:ascii="Arial" w:hAnsi="Arial" w:cs="Arial"/>
          <w:sz w:val="24"/>
          <w:szCs w:val="24"/>
        </w:rPr>
        <w:br/>
      </w:r>
      <w:r w:rsidRPr="004A0F56">
        <w:rPr>
          <w:rFonts w:ascii="Arial" w:hAnsi="Arial" w:cs="Arial"/>
          <w:sz w:val="12"/>
          <w:szCs w:val="12"/>
        </w:rPr>
        <w:br/>
      </w:r>
      <w:r w:rsidRPr="004A0F56">
        <w:rPr>
          <w:rFonts w:ascii="Arial" w:hAnsi="Arial" w:cs="Arial"/>
          <w:sz w:val="24"/>
          <w:szCs w:val="24"/>
        </w:rPr>
        <w:lastRenderedPageBreak/>
        <w:t>The amendments being made by this SI include:</w:t>
      </w:r>
      <w:r>
        <w:rPr>
          <w:rFonts w:ascii="Arial" w:hAnsi="Arial" w:cs="Arial"/>
          <w:sz w:val="24"/>
          <w:szCs w:val="24"/>
        </w:rPr>
        <w:br/>
      </w:r>
    </w:p>
    <w:p w14:paraId="4DFC7A9B" w14:textId="70E2FF65" w:rsidR="008F0295" w:rsidRPr="00C74270" w:rsidRDefault="008F0295" w:rsidP="008F0295">
      <w:pPr>
        <w:pStyle w:val="ListParagraph"/>
        <w:numPr>
          <w:ilvl w:val="0"/>
          <w:numId w:val="10"/>
        </w:numPr>
        <w:spacing w:after="160" w:line="256" w:lineRule="auto"/>
        <w:contextualSpacing/>
        <w:rPr>
          <w:rFonts w:ascii="Arial" w:hAnsi="Arial" w:cs="Arial"/>
          <w:sz w:val="12"/>
          <w:szCs w:val="12"/>
        </w:rPr>
      </w:pPr>
      <w:r>
        <w:rPr>
          <w:rFonts w:ascii="Arial" w:hAnsi="Arial" w:cs="Arial"/>
          <w:sz w:val="24"/>
          <w:szCs w:val="24"/>
        </w:rPr>
        <w:t>Protecting the</w:t>
      </w:r>
      <w:r w:rsidR="00105F87">
        <w:rPr>
          <w:rFonts w:ascii="Arial" w:hAnsi="Arial" w:cs="Arial"/>
          <w:sz w:val="24"/>
          <w:szCs w:val="24"/>
        </w:rPr>
        <w:t xml:space="preserve"> existing</w:t>
      </w:r>
      <w:r>
        <w:rPr>
          <w:rFonts w:ascii="Arial" w:hAnsi="Arial" w:cs="Arial"/>
          <w:sz w:val="24"/>
          <w:szCs w:val="24"/>
        </w:rPr>
        <w:t xml:space="preserve"> rights of 16 </w:t>
      </w:r>
      <w:r w:rsidR="001F55FE">
        <w:rPr>
          <w:rFonts w:ascii="Arial" w:hAnsi="Arial" w:cs="Arial"/>
          <w:sz w:val="24"/>
          <w:szCs w:val="24"/>
        </w:rPr>
        <w:t xml:space="preserve">or </w:t>
      </w:r>
      <w:r>
        <w:rPr>
          <w:rFonts w:ascii="Arial" w:hAnsi="Arial" w:cs="Arial"/>
          <w:sz w:val="24"/>
          <w:szCs w:val="24"/>
        </w:rPr>
        <w:t>17 year</w:t>
      </w:r>
      <w:r w:rsidR="00546A88">
        <w:rPr>
          <w:rFonts w:ascii="Arial" w:hAnsi="Arial" w:cs="Arial"/>
          <w:sz w:val="24"/>
          <w:szCs w:val="24"/>
        </w:rPr>
        <w:t xml:space="preserve"> old</w:t>
      </w:r>
      <w:r w:rsidR="00AD52DB">
        <w:rPr>
          <w:rFonts w:ascii="Arial" w:hAnsi="Arial" w:cs="Arial"/>
          <w:sz w:val="24"/>
          <w:szCs w:val="24"/>
        </w:rPr>
        <w:t>s</w:t>
      </w:r>
      <w:r>
        <w:rPr>
          <w:rFonts w:ascii="Arial" w:hAnsi="Arial" w:cs="Arial"/>
          <w:sz w:val="24"/>
          <w:szCs w:val="24"/>
        </w:rPr>
        <w:t xml:space="preserve"> who currently </w:t>
      </w:r>
      <w:r w:rsidR="00871EC7">
        <w:rPr>
          <w:rFonts w:ascii="Arial" w:hAnsi="Arial" w:cs="Arial"/>
          <w:sz w:val="24"/>
          <w:szCs w:val="24"/>
        </w:rPr>
        <w:t>h</w:t>
      </w:r>
      <w:r w:rsidR="001F55FE">
        <w:rPr>
          <w:rFonts w:ascii="Arial" w:hAnsi="Arial" w:cs="Arial"/>
          <w:sz w:val="24"/>
          <w:szCs w:val="24"/>
        </w:rPr>
        <w:t>old</w:t>
      </w:r>
      <w:r>
        <w:rPr>
          <w:rFonts w:ascii="Arial" w:hAnsi="Arial" w:cs="Arial"/>
          <w:sz w:val="24"/>
          <w:szCs w:val="24"/>
        </w:rPr>
        <w:t xml:space="preserve"> </w:t>
      </w:r>
      <w:bookmarkStart w:id="0" w:name="_Hlk106124430"/>
      <w:r w:rsidR="00105F87">
        <w:rPr>
          <w:rFonts w:ascii="Arial" w:hAnsi="Arial" w:cs="Arial"/>
          <w:sz w:val="24"/>
          <w:szCs w:val="24"/>
        </w:rPr>
        <w:t>a secure tenancy which is a licence</w:t>
      </w:r>
      <w:r w:rsidR="007248B1">
        <w:rPr>
          <w:rFonts w:ascii="Arial" w:hAnsi="Arial" w:cs="Arial"/>
          <w:sz w:val="24"/>
          <w:szCs w:val="24"/>
        </w:rPr>
        <w:t xml:space="preserve">, or an assured agricultural </w:t>
      </w:r>
      <w:bookmarkEnd w:id="0"/>
      <w:r w:rsidR="007248B1">
        <w:rPr>
          <w:rFonts w:ascii="Arial" w:hAnsi="Arial" w:cs="Arial"/>
          <w:sz w:val="24"/>
          <w:szCs w:val="24"/>
        </w:rPr>
        <w:t>occupancy</w:t>
      </w:r>
      <w:r w:rsidR="00871EC7">
        <w:rPr>
          <w:rFonts w:ascii="Arial" w:hAnsi="Arial" w:cs="Arial"/>
          <w:sz w:val="24"/>
          <w:szCs w:val="24"/>
        </w:rPr>
        <w:t xml:space="preserve"> which is a licence</w:t>
      </w:r>
      <w:r w:rsidR="00AD52DB">
        <w:rPr>
          <w:rFonts w:ascii="Arial" w:hAnsi="Arial" w:cs="Arial"/>
          <w:sz w:val="24"/>
          <w:szCs w:val="24"/>
        </w:rPr>
        <w:t>;</w:t>
      </w:r>
      <w:r w:rsidR="00AD52DB">
        <w:rPr>
          <w:rFonts w:ascii="Arial" w:hAnsi="Arial" w:cs="Arial"/>
          <w:sz w:val="24"/>
          <w:szCs w:val="24"/>
        </w:rPr>
        <w:br/>
      </w:r>
    </w:p>
    <w:p w14:paraId="69F872BC" w14:textId="4F6CC54B" w:rsidR="008F0295" w:rsidRPr="001F55FE" w:rsidRDefault="00871EC7" w:rsidP="008F0295">
      <w:pPr>
        <w:pStyle w:val="ListParagraph"/>
        <w:numPr>
          <w:ilvl w:val="0"/>
          <w:numId w:val="10"/>
        </w:numPr>
        <w:spacing w:after="160" w:line="256" w:lineRule="auto"/>
        <w:contextualSpacing/>
        <w:rPr>
          <w:rFonts w:ascii="Arial" w:hAnsi="Arial" w:cs="Arial"/>
          <w:sz w:val="12"/>
          <w:szCs w:val="12"/>
        </w:rPr>
      </w:pPr>
      <w:r>
        <w:rPr>
          <w:rFonts w:ascii="Arial" w:hAnsi="Arial" w:cs="Arial"/>
          <w:sz w:val="24"/>
          <w:szCs w:val="24"/>
        </w:rPr>
        <w:t>Provision about which types of tenancy and licence can convert into supported standard contracts</w:t>
      </w:r>
      <w:r w:rsidR="001F55FE">
        <w:rPr>
          <w:rFonts w:ascii="Arial" w:hAnsi="Arial" w:cs="Arial"/>
          <w:sz w:val="24"/>
          <w:szCs w:val="24"/>
        </w:rPr>
        <w:t>:</w:t>
      </w:r>
      <w:r>
        <w:rPr>
          <w:rFonts w:ascii="Arial" w:hAnsi="Arial" w:cs="Arial"/>
          <w:sz w:val="24"/>
          <w:szCs w:val="24"/>
        </w:rPr>
        <w:t xml:space="preserve"> only assured shorthold tenancies and licences will convert into supported standard contracts and where conversion does occur, not all of the provisions relating to supported standard contracts in the 2016 Act will apply to that converted contract;</w:t>
      </w:r>
    </w:p>
    <w:p w14:paraId="41C2DE2C" w14:textId="77777777" w:rsidR="001F55FE" w:rsidRPr="001F55FE" w:rsidRDefault="001F55FE" w:rsidP="001F55FE">
      <w:pPr>
        <w:pStyle w:val="ListParagraph"/>
        <w:spacing w:after="160" w:line="256" w:lineRule="auto"/>
        <w:contextualSpacing/>
        <w:rPr>
          <w:rFonts w:ascii="Arial" w:hAnsi="Arial" w:cs="Arial"/>
          <w:sz w:val="12"/>
          <w:szCs w:val="12"/>
        </w:rPr>
      </w:pPr>
    </w:p>
    <w:p w14:paraId="7B5692C0" w14:textId="77777777" w:rsidR="008F0295" w:rsidRPr="00C74270" w:rsidRDefault="008F0295" w:rsidP="008F0295">
      <w:pPr>
        <w:pStyle w:val="ListParagraph"/>
        <w:numPr>
          <w:ilvl w:val="0"/>
          <w:numId w:val="10"/>
        </w:numPr>
        <w:spacing w:after="160" w:line="256" w:lineRule="auto"/>
        <w:contextualSpacing/>
        <w:rPr>
          <w:rFonts w:ascii="Arial" w:hAnsi="Arial" w:cs="Arial"/>
          <w:sz w:val="12"/>
          <w:szCs w:val="12"/>
        </w:rPr>
      </w:pPr>
      <w:r>
        <w:rPr>
          <w:rFonts w:ascii="Arial" w:hAnsi="Arial" w:cs="Arial"/>
          <w:sz w:val="24"/>
          <w:szCs w:val="24"/>
        </w:rPr>
        <w:t>Adding Starter Tenancies to the list of current tenancies that will convert into Introductory Standard Contracts;</w:t>
      </w:r>
      <w:r>
        <w:rPr>
          <w:rFonts w:ascii="Arial" w:hAnsi="Arial" w:cs="Arial"/>
          <w:sz w:val="24"/>
          <w:szCs w:val="24"/>
        </w:rPr>
        <w:br/>
      </w:r>
    </w:p>
    <w:p w14:paraId="4348C4A3" w14:textId="2EE5BE0B" w:rsidR="008F0295" w:rsidRPr="00D24E54" w:rsidRDefault="00684B72" w:rsidP="008F0295">
      <w:pPr>
        <w:pStyle w:val="ListParagraph"/>
        <w:numPr>
          <w:ilvl w:val="0"/>
          <w:numId w:val="10"/>
        </w:numPr>
        <w:spacing w:after="160" w:line="256" w:lineRule="auto"/>
        <w:contextualSpacing/>
        <w:rPr>
          <w:rFonts w:ascii="Arial" w:hAnsi="Arial" w:cs="Arial"/>
          <w:sz w:val="12"/>
          <w:szCs w:val="12"/>
        </w:rPr>
      </w:pPr>
      <w:r>
        <w:rPr>
          <w:rFonts w:ascii="Arial" w:hAnsi="Arial" w:cs="Arial"/>
          <w:sz w:val="24"/>
          <w:szCs w:val="24"/>
        </w:rPr>
        <w:t>P</w:t>
      </w:r>
      <w:r w:rsidR="002C1E49">
        <w:rPr>
          <w:rFonts w:ascii="Arial" w:hAnsi="Arial" w:cs="Arial"/>
          <w:sz w:val="24"/>
          <w:szCs w:val="24"/>
        </w:rPr>
        <w:t xml:space="preserve">roviding that the </w:t>
      </w:r>
      <w:r w:rsidR="008F0295">
        <w:rPr>
          <w:rFonts w:ascii="Arial" w:hAnsi="Arial" w:cs="Arial"/>
          <w:sz w:val="24"/>
          <w:szCs w:val="24"/>
        </w:rPr>
        <w:t>deposit scheme requirements</w:t>
      </w:r>
      <w:r w:rsidR="002C1E49">
        <w:rPr>
          <w:rFonts w:ascii="Arial" w:hAnsi="Arial" w:cs="Arial"/>
          <w:sz w:val="24"/>
          <w:szCs w:val="24"/>
        </w:rPr>
        <w:t xml:space="preserve"> </w:t>
      </w:r>
      <w:bookmarkStart w:id="1" w:name="_Hlk106124481"/>
      <w:r w:rsidR="002C1E49">
        <w:rPr>
          <w:rFonts w:ascii="Arial" w:hAnsi="Arial" w:cs="Arial"/>
          <w:sz w:val="24"/>
          <w:szCs w:val="24"/>
        </w:rPr>
        <w:t>apply only to converted assured shorthold tenancies,</w:t>
      </w:r>
      <w:bookmarkEnd w:id="1"/>
      <w:r w:rsidR="008F0295">
        <w:rPr>
          <w:rFonts w:ascii="Arial" w:hAnsi="Arial" w:cs="Arial"/>
          <w:sz w:val="24"/>
          <w:szCs w:val="24"/>
        </w:rPr>
        <w:t xml:space="preserve"> and</w:t>
      </w:r>
      <w:r w:rsidR="002C1E49">
        <w:rPr>
          <w:rFonts w:ascii="Arial" w:hAnsi="Arial" w:cs="Arial"/>
          <w:sz w:val="24"/>
          <w:szCs w:val="24"/>
        </w:rPr>
        <w:t xml:space="preserve"> </w:t>
      </w:r>
      <w:bookmarkStart w:id="2" w:name="_Hlk106124492"/>
      <w:r w:rsidR="002C1E49">
        <w:rPr>
          <w:rFonts w:ascii="Arial" w:hAnsi="Arial" w:cs="Arial"/>
          <w:sz w:val="24"/>
          <w:szCs w:val="24"/>
        </w:rPr>
        <w:t>making a range of provision about the</w:t>
      </w:r>
      <w:r w:rsidR="008F0295">
        <w:rPr>
          <w:rFonts w:ascii="Arial" w:hAnsi="Arial" w:cs="Arial"/>
          <w:sz w:val="24"/>
          <w:szCs w:val="24"/>
        </w:rPr>
        <w:t xml:space="preserve"> </w:t>
      </w:r>
      <w:bookmarkEnd w:id="2"/>
      <w:r w:rsidR="008F0295">
        <w:rPr>
          <w:rFonts w:ascii="Arial" w:hAnsi="Arial" w:cs="Arial"/>
          <w:sz w:val="24"/>
          <w:szCs w:val="24"/>
        </w:rPr>
        <w:t>rent variation arrangements for certain types of tenancies;</w:t>
      </w:r>
      <w:r w:rsidR="008F0295">
        <w:rPr>
          <w:rFonts w:ascii="Arial" w:hAnsi="Arial" w:cs="Arial"/>
          <w:sz w:val="24"/>
          <w:szCs w:val="24"/>
        </w:rPr>
        <w:br/>
      </w:r>
    </w:p>
    <w:p w14:paraId="59AC88D7" w14:textId="50B8D8F1" w:rsidR="008F0295" w:rsidRPr="00C74270" w:rsidRDefault="008F0295" w:rsidP="008F0295">
      <w:pPr>
        <w:pStyle w:val="ListParagraph"/>
        <w:numPr>
          <w:ilvl w:val="0"/>
          <w:numId w:val="10"/>
        </w:numPr>
        <w:spacing w:after="160" w:line="256" w:lineRule="auto"/>
        <w:contextualSpacing/>
        <w:rPr>
          <w:rFonts w:ascii="Arial" w:hAnsi="Arial" w:cs="Arial"/>
          <w:sz w:val="12"/>
          <w:szCs w:val="12"/>
        </w:rPr>
      </w:pPr>
      <w:r>
        <w:rPr>
          <w:rFonts w:ascii="Arial" w:hAnsi="Arial" w:cs="Arial"/>
          <w:sz w:val="24"/>
          <w:szCs w:val="24"/>
        </w:rPr>
        <w:t>Protecting</w:t>
      </w:r>
      <w:r w:rsidR="00C12415">
        <w:rPr>
          <w:rFonts w:ascii="Arial" w:hAnsi="Arial" w:cs="Arial"/>
          <w:sz w:val="24"/>
          <w:szCs w:val="24"/>
        </w:rPr>
        <w:t>,</w:t>
      </w:r>
      <w:r>
        <w:rPr>
          <w:rFonts w:ascii="Arial" w:hAnsi="Arial" w:cs="Arial"/>
          <w:sz w:val="24"/>
          <w:szCs w:val="24"/>
        </w:rPr>
        <w:t xml:space="preserve"> as far as possible</w:t>
      </w:r>
      <w:r w:rsidR="00C12415">
        <w:rPr>
          <w:rFonts w:ascii="Arial" w:hAnsi="Arial" w:cs="Arial"/>
          <w:sz w:val="24"/>
          <w:szCs w:val="24"/>
        </w:rPr>
        <w:t>,</w:t>
      </w:r>
      <w:r>
        <w:rPr>
          <w:rFonts w:ascii="Arial" w:hAnsi="Arial" w:cs="Arial"/>
          <w:sz w:val="24"/>
          <w:szCs w:val="24"/>
        </w:rPr>
        <w:t xml:space="preserve"> the rights of any current holder of an Assured Agricultural Occupancy; and</w:t>
      </w:r>
      <w:r>
        <w:rPr>
          <w:rFonts w:ascii="Arial" w:hAnsi="Arial" w:cs="Arial"/>
          <w:sz w:val="24"/>
          <w:szCs w:val="24"/>
        </w:rPr>
        <w:br/>
      </w:r>
    </w:p>
    <w:p w14:paraId="4B0A81F6" w14:textId="312696E8" w:rsidR="008F0295" w:rsidRPr="008F0295" w:rsidRDefault="008F0295" w:rsidP="008F0295">
      <w:pPr>
        <w:pStyle w:val="ListParagraph"/>
        <w:numPr>
          <w:ilvl w:val="0"/>
          <w:numId w:val="10"/>
        </w:numPr>
        <w:spacing w:after="160" w:line="256" w:lineRule="auto"/>
        <w:contextualSpacing/>
        <w:rPr>
          <w:rFonts w:ascii="Arial" w:hAnsi="Arial" w:cs="Arial"/>
          <w:sz w:val="36"/>
          <w:szCs w:val="36"/>
        </w:rPr>
      </w:pPr>
      <w:r>
        <w:rPr>
          <w:rFonts w:ascii="Arial" w:hAnsi="Arial" w:cs="Arial"/>
          <w:sz w:val="24"/>
          <w:szCs w:val="24"/>
        </w:rPr>
        <w:t xml:space="preserve">Ensuring that for </w:t>
      </w:r>
      <w:r w:rsidR="002C1E49">
        <w:rPr>
          <w:rFonts w:ascii="Arial" w:hAnsi="Arial" w:cs="Arial"/>
          <w:sz w:val="24"/>
          <w:szCs w:val="24"/>
        </w:rPr>
        <w:t xml:space="preserve">fixed term tenancies where the </w:t>
      </w:r>
      <w:r>
        <w:rPr>
          <w:rFonts w:ascii="Arial" w:hAnsi="Arial" w:cs="Arial"/>
          <w:sz w:val="24"/>
          <w:szCs w:val="24"/>
        </w:rPr>
        <w:t xml:space="preserve">fixed term </w:t>
      </w:r>
      <w:r w:rsidR="002C1E49">
        <w:rPr>
          <w:rFonts w:ascii="Arial" w:hAnsi="Arial" w:cs="Arial"/>
          <w:sz w:val="24"/>
          <w:szCs w:val="24"/>
        </w:rPr>
        <w:t>ends</w:t>
      </w:r>
      <w:r w:rsidR="00684B72">
        <w:rPr>
          <w:rFonts w:ascii="Arial" w:hAnsi="Arial" w:cs="Arial"/>
          <w:sz w:val="24"/>
          <w:szCs w:val="24"/>
        </w:rPr>
        <w:t>, and the contract becomes periodic</w:t>
      </w:r>
      <w:r w:rsidR="002C1E49">
        <w:rPr>
          <w:rFonts w:ascii="Arial" w:hAnsi="Arial" w:cs="Arial"/>
          <w:sz w:val="24"/>
          <w:szCs w:val="24"/>
        </w:rPr>
        <w:t xml:space="preserve"> before 1 December</w:t>
      </w:r>
      <w:r>
        <w:rPr>
          <w:rFonts w:ascii="Arial" w:hAnsi="Arial" w:cs="Arial"/>
          <w:sz w:val="24"/>
          <w:szCs w:val="24"/>
        </w:rPr>
        <w:t>, the current two-month no-fault notice period will continue to apply after 1 December</w:t>
      </w:r>
      <w:r w:rsidR="00C12415">
        <w:rPr>
          <w:rFonts w:ascii="Arial" w:hAnsi="Arial" w:cs="Arial"/>
          <w:sz w:val="24"/>
          <w:szCs w:val="24"/>
        </w:rPr>
        <w:t>.</w:t>
      </w:r>
      <w:r>
        <w:rPr>
          <w:rFonts w:ascii="Arial" w:hAnsi="Arial" w:cs="Arial"/>
          <w:sz w:val="24"/>
          <w:szCs w:val="24"/>
        </w:rPr>
        <w:t xml:space="preserve"> </w:t>
      </w:r>
      <w:r w:rsidR="00C12415">
        <w:rPr>
          <w:rFonts w:ascii="Arial" w:hAnsi="Arial" w:cs="Arial"/>
          <w:sz w:val="24"/>
          <w:szCs w:val="24"/>
        </w:rPr>
        <w:t>F</w:t>
      </w:r>
      <w:r>
        <w:rPr>
          <w:rFonts w:ascii="Arial" w:hAnsi="Arial" w:cs="Arial"/>
          <w:sz w:val="24"/>
          <w:szCs w:val="24"/>
        </w:rPr>
        <w:t>or fixed term contracts that convert on 1 December and then become periodic (if the landlord does</w:t>
      </w:r>
      <w:r w:rsidR="00E75C42">
        <w:rPr>
          <w:rFonts w:ascii="Arial" w:hAnsi="Arial" w:cs="Arial"/>
          <w:sz w:val="24"/>
          <w:szCs w:val="24"/>
        </w:rPr>
        <w:t xml:space="preserve"> </w:t>
      </w:r>
      <w:r>
        <w:rPr>
          <w:rFonts w:ascii="Arial" w:hAnsi="Arial" w:cs="Arial"/>
          <w:sz w:val="24"/>
          <w:szCs w:val="24"/>
        </w:rPr>
        <w:t>n</w:t>
      </w:r>
      <w:r w:rsidR="00E75C42">
        <w:rPr>
          <w:rFonts w:ascii="Arial" w:hAnsi="Arial" w:cs="Arial"/>
          <w:sz w:val="24"/>
          <w:szCs w:val="24"/>
        </w:rPr>
        <w:t>o</w:t>
      </w:r>
      <w:r>
        <w:rPr>
          <w:rFonts w:ascii="Arial" w:hAnsi="Arial" w:cs="Arial"/>
          <w:sz w:val="24"/>
          <w:szCs w:val="24"/>
        </w:rPr>
        <w:t>t seek possession at the end of the fixed term by issuing a two-month no-fault notice), the six-month notice will apply to the substitute periodic contract that follows the fixed term.</w:t>
      </w:r>
      <w:r>
        <w:rPr>
          <w:rFonts w:ascii="Arial" w:hAnsi="Arial" w:cs="Arial"/>
          <w:sz w:val="24"/>
          <w:szCs w:val="24"/>
        </w:rPr>
        <w:br/>
      </w:r>
    </w:p>
    <w:p w14:paraId="4A12382F" w14:textId="30781621" w:rsidR="008F0295" w:rsidRPr="00AD52DB" w:rsidRDefault="008F0295" w:rsidP="00AD52DB">
      <w:pPr>
        <w:pStyle w:val="ListParagraph"/>
        <w:numPr>
          <w:ilvl w:val="0"/>
          <w:numId w:val="9"/>
        </w:numPr>
        <w:tabs>
          <w:tab w:val="left" w:pos="360"/>
          <w:tab w:val="left" w:pos="1440"/>
          <w:tab w:val="left" w:pos="2160"/>
          <w:tab w:val="left" w:pos="2880"/>
          <w:tab w:val="left" w:pos="4680"/>
          <w:tab w:val="left" w:pos="5400"/>
          <w:tab w:val="right" w:pos="9000"/>
        </w:tabs>
        <w:spacing w:line="240" w:lineRule="atLeast"/>
        <w:ind w:left="0"/>
        <w:contextualSpacing/>
        <w:rPr>
          <w:rFonts w:ascii="Arial" w:hAnsi="Arial" w:cs="Arial"/>
          <w:b/>
          <w:i/>
          <w:iCs/>
          <w:sz w:val="24"/>
          <w:szCs w:val="24"/>
        </w:rPr>
      </w:pPr>
      <w:r w:rsidRPr="00F75D69">
        <w:rPr>
          <w:rFonts w:ascii="Arial" w:hAnsi="Arial" w:cs="Arial"/>
          <w:b/>
          <w:i/>
          <w:iCs/>
          <w:sz w:val="24"/>
          <w:szCs w:val="24"/>
        </w:rPr>
        <w:t>The Renting Homes (Wales) Act 2016 (</w:t>
      </w:r>
      <w:r>
        <w:rPr>
          <w:rFonts w:ascii="Arial" w:hAnsi="Arial" w:cs="Arial"/>
          <w:b/>
          <w:i/>
          <w:iCs/>
          <w:sz w:val="24"/>
          <w:szCs w:val="24"/>
        </w:rPr>
        <w:t>Consequential Amendments</w:t>
      </w:r>
      <w:r w:rsidRPr="00F75D69">
        <w:rPr>
          <w:rFonts w:ascii="Arial" w:hAnsi="Arial" w:cs="Arial"/>
          <w:b/>
          <w:i/>
          <w:iCs/>
          <w:sz w:val="24"/>
          <w:szCs w:val="24"/>
        </w:rPr>
        <w:t>) Regulations 2022</w:t>
      </w:r>
      <w:r>
        <w:rPr>
          <w:rFonts w:ascii="Arial" w:hAnsi="Arial" w:cs="Arial"/>
          <w:b/>
          <w:i/>
          <w:iCs/>
          <w:sz w:val="24"/>
          <w:szCs w:val="24"/>
        </w:rPr>
        <w:br/>
      </w:r>
      <w:r w:rsidRPr="00EA7D20">
        <w:rPr>
          <w:rFonts w:ascii="Arial" w:hAnsi="Arial" w:cs="Arial"/>
          <w:b/>
          <w:i/>
          <w:iCs/>
          <w:sz w:val="10"/>
          <w:szCs w:val="10"/>
        </w:rPr>
        <w:br/>
      </w:r>
      <w:r w:rsidRPr="00012B00">
        <w:rPr>
          <w:rFonts w:ascii="Arial" w:hAnsi="Arial" w:cs="Arial"/>
          <w:sz w:val="24"/>
          <w:lang w:eastAsia="en-GB"/>
        </w:rPr>
        <w:t xml:space="preserve">These Regulations make amendments to primary legislation </w:t>
      </w:r>
      <w:r w:rsidR="00AD52DB">
        <w:rPr>
          <w:rFonts w:ascii="Arial" w:hAnsi="Arial" w:cs="Arial"/>
          <w:sz w:val="24"/>
          <w:lang w:eastAsia="en-GB"/>
        </w:rPr>
        <w:t>i</w:t>
      </w:r>
      <w:r w:rsidR="00CC636B" w:rsidRPr="00AD52DB">
        <w:rPr>
          <w:rFonts w:ascii="Arial" w:hAnsi="Arial" w:cs="Arial"/>
          <w:sz w:val="24"/>
          <w:lang w:eastAsia="en-GB"/>
        </w:rPr>
        <w:t>n consequence</w:t>
      </w:r>
      <w:r w:rsidRPr="00AD52DB">
        <w:rPr>
          <w:rFonts w:ascii="Arial" w:hAnsi="Arial" w:cs="Arial"/>
          <w:sz w:val="24"/>
          <w:lang w:eastAsia="en-GB"/>
        </w:rPr>
        <w:t xml:space="preserve"> of the provisions of the 2016 Act.  </w:t>
      </w:r>
      <w:r w:rsidRPr="00AD52DB">
        <w:rPr>
          <w:rFonts w:ascii="Arial" w:hAnsi="Arial" w:cs="Arial"/>
          <w:sz w:val="24"/>
          <w:lang w:eastAsia="en-GB"/>
        </w:rPr>
        <w:br/>
      </w:r>
      <w:r w:rsidRPr="00AD52DB">
        <w:rPr>
          <w:rFonts w:ascii="Arial" w:hAnsi="Arial" w:cs="Arial"/>
          <w:sz w:val="12"/>
          <w:szCs w:val="8"/>
          <w:lang w:eastAsia="en-GB"/>
        </w:rPr>
        <w:br/>
      </w:r>
      <w:r w:rsidRPr="00AD52DB">
        <w:rPr>
          <w:rFonts w:ascii="Arial" w:hAnsi="Arial" w:cs="Arial"/>
          <w:sz w:val="24"/>
          <w:lang w:eastAsia="en-GB"/>
        </w:rPr>
        <w:t>Generally, these amendments either:</w:t>
      </w:r>
    </w:p>
    <w:p w14:paraId="38023306" w14:textId="77777777" w:rsidR="008F0295" w:rsidRPr="005D22B8" w:rsidRDefault="008F0295" w:rsidP="008F0295">
      <w:pPr>
        <w:tabs>
          <w:tab w:val="left" w:pos="720"/>
          <w:tab w:val="left" w:pos="1440"/>
          <w:tab w:val="left" w:pos="2160"/>
          <w:tab w:val="left" w:pos="2880"/>
          <w:tab w:val="left" w:pos="4680"/>
          <w:tab w:val="left" w:pos="5400"/>
          <w:tab w:val="right" w:pos="9000"/>
        </w:tabs>
        <w:spacing w:line="240" w:lineRule="atLeast"/>
        <w:ind w:left="426"/>
        <w:rPr>
          <w:rFonts w:ascii="Arial" w:hAnsi="Arial" w:cs="Arial"/>
          <w:sz w:val="18"/>
          <w:szCs w:val="14"/>
          <w:lang w:eastAsia="en-GB"/>
        </w:rPr>
      </w:pPr>
    </w:p>
    <w:p w14:paraId="476C3FC0" w14:textId="77777777" w:rsidR="008F0295" w:rsidRDefault="008F0295" w:rsidP="008F0295">
      <w:pPr>
        <w:pStyle w:val="ListParagraph"/>
        <w:numPr>
          <w:ilvl w:val="0"/>
          <w:numId w:val="7"/>
        </w:numPr>
        <w:tabs>
          <w:tab w:val="left" w:pos="426"/>
          <w:tab w:val="left" w:pos="1440"/>
          <w:tab w:val="left" w:pos="2160"/>
          <w:tab w:val="left" w:pos="2880"/>
          <w:tab w:val="left" w:pos="4680"/>
          <w:tab w:val="left" w:pos="5400"/>
          <w:tab w:val="right" w:pos="9000"/>
        </w:tabs>
        <w:spacing w:line="240" w:lineRule="atLeast"/>
        <w:ind w:left="426"/>
        <w:contextualSpacing/>
        <w:rPr>
          <w:rFonts w:ascii="Arial" w:hAnsi="Arial" w:cs="Arial"/>
          <w:sz w:val="24"/>
          <w:lang w:eastAsia="en-GB"/>
        </w:rPr>
      </w:pPr>
      <w:r w:rsidRPr="0074227C">
        <w:rPr>
          <w:rFonts w:ascii="Arial" w:hAnsi="Arial" w:cs="Arial"/>
          <w:sz w:val="24"/>
          <w:lang w:eastAsia="en-GB"/>
        </w:rPr>
        <w:t>ensure that existing provision in primary legislation continues to have appropriate effect by</w:t>
      </w:r>
    </w:p>
    <w:p w14:paraId="1ED68909" w14:textId="77777777" w:rsidR="008F0295" w:rsidRPr="00F227B2" w:rsidRDefault="008F0295" w:rsidP="008F0295">
      <w:pPr>
        <w:pStyle w:val="ListParagraph"/>
        <w:tabs>
          <w:tab w:val="left" w:pos="720"/>
          <w:tab w:val="left" w:pos="1440"/>
          <w:tab w:val="left" w:pos="2160"/>
          <w:tab w:val="left" w:pos="2880"/>
          <w:tab w:val="left" w:pos="4680"/>
          <w:tab w:val="left" w:pos="5400"/>
          <w:tab w:val="right" w:pos="9000"/>
        </w:tabs>
        <w:spacing w:line="240" w:lineRule="atLeast"/>
        <w:rPr>
          <w:rFonts w:ascii="Arial" w:hAnsi="Arial" w:cs="Arial"/>
          <w:sz w:val="16"/>
          <w:szCs w:val="12"/>
          <w:lang w:eastAsia="en-GB"/>
        </w:rPr>
      </w:pPr>
    </w:p>
    <w:p w14:paraId="2753E168" w14:textId="09F5AD49" w:rsidR="008F0295" w:rsidRPr="00F227B2" w:rsidRDefault="008F0295" w:rsidP="008F0295">
      <w:pPr>
        <w:pStyle w:val="ListParagraph"/>
        <w:numPr>
          <w:ilvl w:val="0"/>
          <w:numId w:val="8"/>
        </w:numPr>
        <w:tabs>
          <w:tab w:val="left" w:pos="1701"/>
          <w:tab w:val="left" w:pos="2880"/>
          <w:tab w:val="left" w:pos="4680"/>
          <w:tab w:val="left" w:pos="5400"/>
          <w:tab w:val="right" w:pos="9000"/>
        </w:tabs>
        <w:spacing w:line="240" w:lineRule="atLeast"/>
        <w:ind w:left="709" w:hanging="142"/>
        <w:contextualSpacing/>
        <w:rPr>
          <w:rFonts w:ascii="Arial" w:hAnsi="Arial" w:cs="Arial"/>
          <w:sz w:val="14"/>
          <w:szCs w:val="10"/>
          <w:lang w:eastAsia="en-GB"/>
        </w:rPr>
      </w:pPr>
      <w:r w:rsidRPr="0074227C">
        <w:rPr>
          <w:rFonts w:ascii="Arial" w:hAnsi="Arial" w:cs="Arial"/>
          <w:sz w:val="24"/>
          <w:lang w:eastAsia="en-GB"/>
        </w:rPr>
        <w:t xml:space="preserve">referencing </w:t>
      </w:r>
      <w:r w:rsidR="00CC636B">
        <w:rPr>
          <w:rFonts w:ascii="Arial" w:hAnsi="Arial" w:cs="Arial"/>
          <w:sz w:val="24"/>
          <w:lang w:eastAsia="en-GB"/>
        </w:rPr>
        <w:t xml:space="preserve">relevant </w:t>
      </w:r>
      <w:r w:rsidRPr="0074227C">
        <w:rPr>
          <w:rFonts w:ascii="Arial" w:hAnsi="Arial" w:cs="Arial"/>
          <w:sz w:val="24"/>
          <w:lang w:eastAsia="en-GB"/>
        </w:rPr>
        <w:t xml:space="preserve">occupation contracts alongside references to existing </w:t>
      </w:r>
      <w:r w:rsidR="00CC636B">
        <w:rPr>
          <w:rFonts w:ascii="Arial" w:hAnsi="Arial" w:cs="Arial"/>
          <w:sz w:val="24"/>
          <w:lang w:eastAsia="en-GB"/>
        </w:rPr>
        <w:t xml:space="preserve">types </w:t>
      </w:r>
      <w:r w:rsidRPr="0074227C">
        <w:rPr>
          <w:rFonts w:ascii="Arial" w:hAnsi="Arial" w:cs="Arial"/>
          <w:sz w:val="24"/>
          <w:lang w:eastAsia="en-GB"/>
        </w:rPr>
        <w:t>of tenanc</w:t>
      </w:r>
      <w:r w:rsidR="00CC636B">
        <w:rPr>
          <w:rFonts w:ascii="Arial" w:hAnsi="Arial" w:cs="Arial"/>
          <w:sz w:val="24"/>
          <w:lang w:eastAsia="en-GB"/>
        </w:rPr>
        <w:t>ies</w:t>
      </w:r>
      <w:r>
        <w:rPr>
          <w:rFonts w:ascii="Arial" w:hAnsi="Arial" w:cs="Arial"/>
          <w:sz w:val="24"/>
          <w:lang w:eastAsia="en-GB"/>
        </w:rPr>
        <w:t>, or</w:t>
      </w:r>
      <w:r>
        <w:rPr>
          <w:rFonts w:ascii="Arial" w:hAnsi="Arial" w:cs="Arial"/>
          <w:sz w:val="24"/>
          <w:lang w:eastAsia="en-GB"/>
        </w:rPr>
        <w:br/>
      </w:r>
    </w:p>
    <w:p w14:paraId="57FB2307" w14:textId="31056CF6" w:rsidR="008F0295" w:rsidRDefault="008F0295" w:rsidP="008F0295">
      <w:pPr>
        <w:pStyle w:val="ListParagraph"/>
        <w:numPr>
          <w:ilvl w:val="0"/>
          <w:numId w:val="8"/>
        </w:numPr>
        <w:tabs>
          <w:tab w:val="right" w:pos="9000"/>
        </w:tabs>
        <w:spacing w:line="240" w:lineRule="atLeast"/>
        <w:ind w:left="709" w:hanging="142"/>
        <w:contextualSpacing/>
        <w:rPr>
          <w:rFonts w:ascii="Arial" w:hAnsi="Arial" w:cs="Arial"/>
          <w:sz w:val="24"/>
          <w:lang w:eastAsia="en-GB"/>
        </w:rPr>
      </w:pPr>
      <w:r w:rsidRPr="0074227C">
        <w:rPr>
          <w:rFonts w:ascii="Arial" w:hAnsi="Arial" w:cs="Arial"/>
          <w:sz w:val="24"/>
          <w:lang w:eastAsia="en-GB"/>
        </w:rPr>
        <w:t>including the terminology used in the 2016 Act</w:t>
      </w:r>
      <w:r w:rsidR="001F55FE">
        <w:rPr>
          <w:rFonts w:ascii="Arial" w:hAnsi="Arial" w:cs="Arial"/>
          <w:sz w:val="24"/>
          <w:lang w:eastAsia="en-GB"/>
        </w:rPr>
        <w:t>;</w:t>
      </w:r>
    </w:p>
    <w:p w14:paraId="587BB1FC" w14:textId="77777777" w:rsidR="008F0295" w:rsidRPr="00F227B2" w:rsidRDefault="008F0295" w:rsidP="008F0295">
      <w:pPr>
        <w:tabs>
          <w:tab w:val="left" w:pos="720"/>
          <w:tab w:val="left" w:pos="1440"/>
          <w:tab w:val="left" w:pos="1701"/>
          <w:tab w:val="left" w:pos="2880"/>
          <w:tab w:val="left" w:pos="4680"/>
          <w:tab w:val="left" w:pos="5400"/>
          <w:tab w:val="right" w:pos="9000"/>
        </w:tabs>
        <w:spacing w:line="240" w:lineRule="atLeast"/>
        <w:rPr>
          <w:rFonts w:ascii="Arial" w:hAnsi="Arial" w:cs="Arial"/>
          <w:sz w:val="16"/>
          <w:szCs w:val="12"/>
          <w:lang w:eastAsia="en-GB"/>
        </w:rPr>
      </w:pPr>
    </w:p>
    <w:p w14:paraId="1C6806B6" w14:textId="77777777" w:rsidR="008F0295" w:rsidRPr="00BB546D" w:rsidRDefault="008F0295" w:rsidP="008F0295">
      <w:pPr>
        <w:tabs>
          <w:tab w:val="left" w:pos="720"/>
          <w:tab w:val="left" w:pos="1440"/>
          <w:tab w:val="left" w:pos="1701"/>
          <w:tab w:val="left" w:pos="2880"/>
          <w:tab w:val="left" w:pos="4680"/>
          <w:tab w:val="left" w:pos="5400"/>
          <w:tab w:val="right" w:pos="9000"/>
        </w:tabs>
        <w:spacing w:line="240" w:lineRule="atLeast"/>
        <w:rPr>
          <w:rFonts w:ascii="Arial" w:hAnsi="Arial" w:cs="Arial"/>
          <w:sz w:val="24"/>
          <w:lang w:eastAsia="en-GB"/>
        </w:rPr>
      </w:pPr>
      <w:r>
        <w:rPr>
          <w:rFonts w:ascii="Arial" w:hAnsi="Arial" w:cs="Arial"/>
          <w:sz w:val="24"/>
          <w:lang w:eastAsia="en-GB"/>
        </w:rPr>
        <w:tab/>
      </w:r>
      <w:r w:rsidRPr="00BB546D">
        <w:rPr>
          <w:rFonts w:ascii="Arial" w:hAnsi="Arial" w:cs="Arial"/>
          <w:sz w:val="24"/>
          <w:lang w:eastAsia="en-GB"/>
        </w:rPr>
        <w:t>or</w:t>
      </w:r>
      <w:r>
        <w:rPr>
          <w:rFonts w:ascii="Arial" w:hAnsi="Arial" w:cs="Arial"/>
          <w:sz w:val="24"/>
          <w:lang w:eastAsia="en-GB"/>
        </w:rPr>
        <w:t>,</w:t>
      </w:r>
    </w:p>
    <w:p w14:paraId="5DD638C0" w14:textId="77777777" w:rsidR="008F0295" w:rsidRPr="005D22B8" w:rsidRDefault="008F0295" w:rsidP="008F0295">
      <w:pPr>
        <w:pStyle w:val="ListParagraph"/>
        <w:tabs>
          <w:tab w:val="left" w:pos="720"/>
          <w:tab w:val="left" w:pos="1440"/>
          <w:tab w:val="left" w:pos="2160"/>
          <w:tab w:val="left" w:pos="2880"/>
          <w:tab w:val="left" w:pos="4680"/>
          <w:tab w:val="left" w:pos="5400"/>
          <w:tab w:val="right" w:pos="9000"/>
        </w:tabs>
        <w:spacing w:line="240" w:lineRule="atLeast"/>
        <w:rPr>
          <w:rFonts w:ascii="Arial" w:hAnsi="Arial" w:cs="Arial"/>
          <w:sz w:val="14"/>
          <w:szCs w:val="10"/>
          <w:lang w:eastAsia="en-GB"/>
        </w:rPr>
      </w:pPr>
      <w:r w:rsidRPr="005D22B8">
        <w:rPr>
          <w:rFonts w:ascii="Arial" w:hAnsi="Arial" w:cs="Arial"/>
          <w:sz w:val="14"/>
          <w:szCs w:val="10"/>
          <w:lang w:eastAsia="en-GB"/>
        </w:rPr>
        <w:t xml:space="preserve"> </w:t>
      </w:r>
    </w:p>
    <w:p w14:paraId="7E4C0646" w14:textId="3831EFFC" w:rsidR="008F0295" w:rsidRPr="00BB546D" w:rsidRDefault="008F0295" w:rsidP="008F0295">
      <w:pPr>
        <w:pStyle w:val="ListParagraph"/>
        <w:numPr>
          <w:ilvl w:val="0"/>
          <w:numId w:val="7"/>
        </w:numPr>
        <w:tabs>
          <w:tab w:val="left" w:pos="426"/>
          <w:tab w:val="left" w:pos="1440"/>
          <w:tab w:val="left" w:pos="2160"/>
          <w:tab w:val="left" w:pos="2880"/>
          <w:tab w:val="left" w:pos="4680"/>
          <w:tab w:val="left" w:pos="5400"/>
          <w:tab w:val="right" w:pos="9000"/>
        </w:tabs>
        <w:spacing w:line="240" w:lineRule="atLeast"/>
        <w:ind w:left="426" w:hanging="426"/>
        <w:contextualSpacing/>
        <w:rPr>
          <w:rFonts w:ascii="Arial" w:hAnsi="Arial" w:cs="Arial"/>
          <w:sz w:val="24"/>
          <w:lang w:eastAsia="en-GB"/>
        </w:rPr>
      </w:pPr>
      <w:r w:rsidRPr="0074227C">
        <w:rPr>
          <w:rFonts w:ascii="Arial" w:hAnsi="Arial" w:cs="Arial"/>
          <w:sz w:val="24"/>
          <w:lang w:eastAsia="en-GB"/>
        </w:rPr>
        <w:t>where the provisions of the 2016 Act are intended to replace elements of existing law</w:t>
      </w:r>
      <w:r>
        <w:rPr>
          <w:rFonts w:ascii="Arial" w:hAnsi="Arial" w:cs="Arial"/>
          <w:sz w:val="24"/>
          <w:lang w:eastAsia="en-GB"/>
        </w:rPr>
        <w:t>,</w:t>
      </w:r>
      <w:r w:rsidRPr="0074227C">
        <w:rPr>
          <w:rFonts w:ascii="Arial" w:hAnsi="Arial" w:cs="Arial"/>
          <w:sz w:val="24"/>
          <w:lang w:eastAsia="en-GB"/>
        </w:rPr>
        <w:t xml:space="preserve"> or the existing law is incompatible that set out in </w:t>
      </w:r>
      <w:r w:rsidRPr="0074227C">
        <w:rPr>
          <w:rFonts w:ascii="Arial" w:hAnsi="Arial" w:cs="Arial"/>
          <w:sz w:val="24"/>
          <w:szCs w:val="24"/>
          <w:lang w:eastAsia="en-GB"/>
        </w:rPr>
        <w:t xml:space="preserve">the 2016 Act, by </w:t>
      </w:r>
      <w:r w:rsidR="00CC636B">
        <w:rPr>
          <w:rFonts w:ascii="Arial" w:hAnsi="Arial" w:cs="Arial"/>
          <w:sz w:val="24"/>
          <w:szCs w:val="24"/>
          <w:lang w:eastAsia="en-GB"/>
        </w:rPr>
        <w:t xml:space="preserve">disapplying </w:t>
      </w:r>
      <w:r w:rsidRPr="0074227C">
        <w:rPr>
          <w:rFonts w:ascii="Arial" w:hAnsi="Arial" w:cs="Arial"/>
          <w:sz w:val="24"/>
          <w:szCs w:val="24"/>
          <w:lang w:eastAsia="en-GB"/>
        </w:rPr>
        <w:t xml:space="preserve">that law. </w:t>
      </w:r>
    </w:p>
    <w:p w14:paraId="2FD68027" w14:textId="6C0C63B5" w:rsidR="008F0295" w:rsidRPr="00BB546D" w:rsidRDefault="008F0295" w:rsidP="008F0295">
      <w:pPr>
        <w:tabs>
          <w:tab w:val="left" w:pos="720"/>
          <w:tab w:val="left" w:pos="1440"/>
          <w:tab w:val="left" w:pos="2160"/>
          <w:tab w:val="left" w:pos="2880"/>
          <w:tab w:val="left" w:pos="4680"/>
          <w:tab w:val="left" w:pos="5400"/>
          <w:tab w:val="right" w:pos="9000"/>
        </w:tabs>
        <w:spacing w:line="240" w:lineRule="atLeast"/>
        <w:rPr>
          <w:rFonts w:ascii="Arial" w:hAnsi="Arial" w:cs="Arial"/>
          <w:sz w:val="24"/>
          <w:lang w:eastAsia="en-GB"/>
        </w:rPr>
      </w:pPr>
      <w:r w:rsidRPr="00BB546D">
        <w:rPr>
          <w:rFonts w:ascii="Arial" w:hAnsi="Arial" w:cs="Arial"/>
          <w:sz w:val="24"/>
          <w:szCs w:val="24"/>
          <w:lang w:eastAsia="en-GB"/>
        </w:rPr>
        <w:lastRenderedPageBreak/>
        <w:t>These amendments are</w:t>
      </w:r>
      <w:r w:rsidRPr="00BB546D">
        <w:rPr>
          <w:rFonts w:ascii="Arial" w:hAnsi="Arial" w:cs="Arial"/>
          <w:sz w:val="24"/>
          <w:szCs w:val="24"/>
        </w:rPr>
        <w:t xml:space="preserve"> necessary to</w:t>
      </w:r>
      <w:r w:rsidR="008D3DE0">
        <w:rPr>
          <w:rFonts w:ascii="Arial" w:hAnsi="Arial" w:cs="Arial"/>
          <w:sz w:val="24"/>
          <w:szCs w:val="24"/>
        </w:rPr>
        <w:t xml:space="preserve"> implement the 2016 Act,</w:t>
      </w:r>
      <w:r w:rsidRPr="00BB546D">
        <w:rPr>
          <w:rFonts w:ascii="Arial" w:hAnsi="Arial" w:cs="Arial"/>
          <w:sz w:val="24"/>
          <w:szCs w:val="24"/>
        </w:rPr>
        <w:t xml:space="preserve"> provide </w:t>
      </w:r>
      <w:r w:rsidR="00CC636B">
        <w:rPr>
          <w:rFonts w:ascii="Arial" w:hAnsi="Arial" w:cs="Arial"/>
          <w:sz w:val="24"/>
          <w:szCs w:val="24"/>
        </w:rPr>
        <w:t xml:space="preserve">coherence, </w:t>
      </w:r>
      <w:r w:rsidRPr="00BB546D">
        <w:rPr>
          <w:rFonts w:ascii="Arial" w:hAnsi="Arial" w:cs="Arial"/>
          <w:sz w:val="24"/>
          <w:szCs w:val="24"/>
        </w:rPr>
        <w:t>clarity and ensure consistency of the law.</w:t>
      </w:r>
    </w:p>
    <w:p w14:paraId="52FF3108" w14:textId="77777777" w:rsidR="008F0295" w:rsidRPr="00C74270" w:rsidRDefault="008F0295" w:rsidP="008F0295">
      <w:pPr>
        <w:pStyle w:val="ListParagraph"/>
        <w:ind w:left="284"/>
        <w:rPr>
          <w:rFonts w:ascii="Arial" w:hAnsi="Arial" w:cs="Arial"/>
          <w:b/>
          <w:i/>
          <w:iCs/>
          <w:sz w:val="36"/>
          <w:szCs w:val="36"/>
        </w:rPr>
      </w:pPr>
    </w:p>
    <w:p w14:paraId="3465B180" w14:textId="6ED06F7C" w:rsidR="00D33F19" w:rsidRPr="008F0295" w:rsidRDefault="008F0295" w:rsidP="008F0295">
      <w:pPr>
        <w:spacing w:after="200" w:line="276" w:lineRule="auto"/>
        <w:contextualSpacing/>
        <w:rPr>
          <w:rFonts w:ascii="Arial" w:hAnsi="Arial" w:cs="Arial"/>
          <w:sz w:val="36"/>
          <w:szCs w:val="36"/>
        </w:rPr>
      </w:pPr>
      <w:r w:rsidRPr="009347A2">
        <w:rPr>
          <w:rFonts w:ascii="Arial" w:hAnsi="Arial" w:cs="Arial"/>
          <w:b/>
          <w:i/>
          <w:iCs/>
          <w:sz w:val="24"/>
          <w:szCs w:val="24"/>
        </w:rPr>
        <w:t xml:space="preserve">The Renting Homes (Wales) </w:t>
      </w:r>
      <w:r>
        <w:rPr>
          <w:rFonts w:ascii="Arial" w:hAnsi="Arial" w:cs="Arial"/>
          <w:b/>
          <w:i/>
          <w:iCs/>
          <w:sz w:val="24"/>
          <w:szCs w:val="24"/>
        </w:rPr>
        <w:t>Act 2016 (</w:t>
      </w:r>
      <w:r w:rsidRPr="000F1B9C">
        <w:rPr>
          <w:rFonts w:ascii="Arial" w:hAnsi="Arial" w:cs="Arial"/>
          <w:b/>
          <w:i/>
          <w:iCs/>
          <w:sz w:val="24"/>
          <w:szCs w:val="24"/>
        </w:rPr>
        <w:t>Housing Association Tenancies: Fundamental Provisions) Regulations 2022</w:t>
      </w:r>
      <w:r w:rsidRPr="009347A2">
        <w:rPr>
          <w:rFonts w:ascii="Arial" w:hAnsi="Arial" w:cs="Arial"/>
          <w:b/>
          <w:i/>
          <w:iCs/>
          <w:sz w:val="24"/>
          <w:szCs w:val="24"/>
        </w:rPr>
        <w:br/>
      </w:r>
      <w:r w:rsidRPr="007C6B69">
        <w:rPr>
          <w:rFonts w:ascii="Arial" w:hAnsi="Arial" w:cs="Arial"/>
          <w:iCs/>
          <w:sz w:val="10"/>
          <w:szCs w:val="10"/>
        </w:rPr>
        <w:br/>
      </w:r>
      <w:r>
        <w:rPr>
          <w:rFonts w:ascii="Arial" w:hAnsi="Arial" w:cs="Arial"/>
          <w:iCs/>
          <w:sz w:val="24"/>
          <w:szCs w:val="24"/>
        </w:rPr>
        <w:t xml:space="preserve">This SI </w:t>
      </w:r>
      <w:r w:rsidR="0028340B">
        <w:rPr>
          <w:rFonts w:ascii="Arial" w:hAnsi="Arial" w:cs="Arial"/>
          <w:iCs/>
          <w:sz w:val="24"/>
          <w:szCs w:val="24"/>
        </w:rPr>
        <w:t>provides</w:t>
      </w:r>
      <w:r w:rsidR="0028340B" w:rsidRPr="007919D1">
        <w:rPr>
          <w:rFonts w:ascii="Arial" w:hAnsi="Arial" w:cs="Arial"/>
          <w:iCs/>
          <w:sz w:val="24"/>
          <w:szCs w:val="24"/>
        </w:rPr>
        <w:t xml:space="preserve"> </w:t>
      </w:r>
      <w:r w:rsidRPr="007919D1">
        <w:rPr>
          <w:rFonts w:ascii="Arial" w:hAnsi="Arial" w:cs="Arial"/>
          <w:iCs/>
          <w:sz w:val="24"/>
          <w:szCs w:val="24"/>
        </w:rPr>
        <w:t>that the</w:t>
      </w:r>
      <w:r w:rsidR="00726062">
        <w:rPr>
          <w:rFonts w:ascii="Arial" w:hAnsi="Arial" w:cs="Arial"/>
          <w:iCs/>
          <w:sz w:val="24"/>
          <w:szCs w:val="24"/>
        </w:rPr>
        <w:t xml:space="preserve"> relevant</w:t>
      </w:r>
      <w:r w:rsidRPr="007919D1">
        <w:rPr>
          <w:rFonts w:ascii="Arial" w:hAnsi="Arial" w:cs="Arial"/>
          <w:iCs/>
          <w:sz w:val="24"/>
          <w:szCs w:val="24"/>
        </w:rPr>
        <w:t xml:space="preserve"> sections of the 2016 Act dealing with the variation of rent </w:t>
      </w:r>
      <w:r w:rsidR="00726062">
        <w:rPr>
          <w:rFonts w:ascii="Arial" w:hAnsi="Arial" w:cs="Arial"/>
          <w:iCs/>
          <w:sz w:val="24"/>
          <w:szCs w:val="24"/>
        </w:rPr>
        <w:t xml:space="preserve">applicable to secure and periodic standard contracts </w:t>
      </w:r>
      <w:r w:rsidR="00B76957">
        <w:rPr>
          <w:rFonts w:ascii="Arial" w:hAnsi="Arial" w:cs="Arial"/>
          <w:iCs/>
          <w:sz w:val="24"/>
          <w:szCs w:val="24"/>
        </w:rPr>
        <w:t xml:space="preserve">are not </w:t>
      </w:r>
      <w:r w:rsidR="00B76957" w:rsidRPr="00B76957">
        <w:rPr>
          <w:rFonts w:ascii="Arial" w:hAnsi="Arial" w:cs="Arial"/>
          <w:iCs/>
          <w:sz w:val="24"/>
          <w:szCs w:val="24"/>
        </w:rPr>
        <w:t xml:space="preserve">fundamental provisions of occupation contracts </w:t>
      </w:r>
      <w:r w:rsidR="00C26C93">
        <w:rPr>
          <w:rFonts w:ascii="Arial" w:hAnsi="Arial" w:cs="Arial"/>
          <w:iCs/>
          <w:sz w:val="24"/>
          <w:szCs w:val="24"/>
        </w:rPr>
        <w:t>that</w:t>
      </w:r>
      <w:r w:rsidR="00726062">
        <w:rPr>
          <w:rFonts w:ascii="Arial" w:hAnsi="Arial" w:cs="Arial"/>
          <w:iCs/>
          <w:sz w:val="24"/>
          <w:szCs w:val="24"/>
        </w:rPr>
        <w:t xml:space="preserve"> are </w:t>
      </w:r>
      <w:r>
        <w:rPr>
          <w:rFonts w:ascii="Arial" w:hAnsi="Arial" w:cs="Arial"/>
          <w:iCs/>
          <w:sz w:val="24"/>
          <w:szCs w:val="24"/>
        </w:rPr>
        <w:t xml:space="preserve"> </w:t>
      </w:r>
      <w:r w:rsidRPr="007919D1">
        <w:rPr>
          <w:rFonts w:ascii="Arial" w:hAnsi="Arial" w:cs="Arial"/>
          <w:iCs/>
          <w:sz w:val="24"/>
          <w:szCs w:val="24"/>
        </w:rPr>
        <w:t xml:space="preserve">housing association tenancies (within the meaning </w:t>
      </w:r>
      <w:r w:rsidR="00726062">
        <w:rPr>
          <w:rFonts w:ascii="Arial" w:hAnsi="Arial" w:cs="Arial"/>
          <w:iCs/>
          <w:sz w:val="24"/>
          <w:szCs w:val="24"/>
        </w:rPr>
        <w:t>in</w:t>
      </w:r>
      <w:r w:rsidRPr="007919D1">
        <w:rPr>
          <w:rFonts w:ascii="Arial" w:hAnsi="Arial" w:cs="Arial"/>
          <w:iCs/>
          <w:sz w:val="24"/>
          <w:szCs w:val="24"/>
        </w:rPr>
        <w:t xml:space="preserve"> Part 6 of the Rent Act 1977 (“the 1977 Act”)).</w:t>
      </w:r>
      <w:r>
        <w:rPr>
          <w:rFonts w:ascii="Arial" w:hAnsi="Arial" w:cs="Arial"/>
          <w:iCs/>
          <w:sz w:val="24"/>
          <w:szCs w:val="24"/>
        </w:rPr>
        <w:br/>
      </w:r>
      <w:r w:rsidRPr="007C6B69">
        <w:rPr>
          <w:rFonts w:ascii="Arial" w:hAnsi="Arial" w:cs="Arial"/>
          <w:iCs/>
          <w:sz w:val="12"/>
          <w:szCs w:val="12"/>
        </w:rPr>
        <w:br/>
      </w:r>
      <w:r w:rsidR="00726062">
        <w:rPr>
          <w:rFonts w:ascii="Arial" w:hAnsi="Arial" w:cs="Arial"/>
          <w:iCs/>
          <w:sz w:val="24"/>
          <w:szCs w:val="24"/>
        </w:rPr>
        <w:t>T</w:t>
      </w:r>
      <w:r>
        <w:rPr>
          <w:rFonts w:ascii="Arial" w:hAnsi="Arial" w:cs="Arial"/>
          <w:iCs/>
          <w:sz w:val="24"/>
          <w:szCs w:val="24"/>
        </w:rPr>
        <w:t>his SI</w:t>
      </w:r>
      <w:r w:rsidRPr="007919D1">
        <w:rPr>
          <w:rFonts w:ascii="Arial" w:hAnsi="Arial" w:cs="Arial"/>
          <w:iCs/>
          <w:sz w:val="24"/>
          <w:szCs w:val="24"/>
        </w:rPr>
        <w:t xml:space="preserve"> </w:t>
      </w:r>
      <w:r w:rsidR="00726062">
        <w:rPr>
          <w:rFonts w:ascii="Arial" w:hAnsi="Arial" w:cs="Arial"/>
          <w:iCs/>
          <w:sz w:val="24"/>
          <w:szCs w:val="24"/>
        </w:rPr>
        <w:t xml:space="preserve">also </w:t>
      </w:r>
      <w:r w:rsidRPr="007919D1">
        <w:rPr>
          <w:rFonts w:ascii="Arial" w:hAnsi="Arial" w:cs="Arial"/>
          <w:iCs/>
          <w:sz w:val="24"/>
          <w:szCs w:val="24"/>
        </w:rPr>
        <w:t>make</w:t>
      </w:r>
      <w:r>
        <w:rPr>
          <w:rFonts w:ascii="Arial" w:hAnsi="Arial" w:cs="Arial"/>
          <w:iCs/>
          <w:sz w:val="24"/>
          <w:szCs w:val="24"/>
        </w:rPr>
        <w:t>s</w:t>
      </w:r>
      <w:r w:rsidRPr="007919D1">
        <w:rPr>
          <w:rFonts w:ascii="Arial" w:hAnsi="Arial" w:cs="Arial"/>
          <w:iCs/>
          <w:sz w:val="24"/>
          <w:szCs w:val="24"/>
        </w:rPr>
        <w:t xml:space="preserve"> consequential amendments to the </w:t>
      </w:r>
      <w:r w:rsidR="00726062">
        <w:rPr>
          <w:rFonts w:ascii="Arial" w:hAnsi="Arial" w:cs="Arial"/>
          <w:iCs/>
          <w:sz w:val="24"/>
          <w:szCs w:val="24"/>
        </w:rPr>
        <w:t xml:space="preserve">2016 Act and to section 93 of the </w:t>
      </w:r>
      <w:r w:rsidRPr="007919D1">
        <w:rPr>
          <w:rFonts w:ascii="Arial" w:hAnsi="Arial" w:cs="Arial"/>
          <w:iCs/>
          <w:sz w:val="24"/>
          <w:szCs w:val="24"/>
        </w:rPr>
        <w:t>1977 Act</w:t>
      </w:r>
      <w:r w:rsidR="00726062">
        <w:rPr>
          <w:rFonts w:ascii="Arial" w:hAnsi="Arial" w:cs="Arial"/>
          <w:iCs/>
          <w:sz w:val="24"/>
          <w:szCs w:val="24"/>
        </w:rPr>
        <w:t>.</w:t>
      </w:r>
      <w:r w:rsidRPr="007919D1">
        <w:rPr>
          <w:rFonts w:ascii="Arial" w:hAnsi="Arial" w:cs="Arial"/>
          <w:iCs/>
          <w:sz w:val="24"/>
          <w:szCs w:val="24"/>
        </w:rPr>
        <w:t xml:space="preserve"> </w:t>
      </w:r>
      <w:r w:rsidR="001F55FE">
        <w:rPr>
          <w:rFonts w:ascii="Arial" w:hAnsi="Arial" w:cs="Arial"/>
          <w:iCs/>
          <w:sz w:val="24"/>
          <w:szCs w:val="24"/>
        </w:rPr>
        <w:t>T</w:t>
      </w:r>
      <w:r w:rsidR="0028340B">
        <w:rPr>
          <w:rFonts w:ascii="Arial" w:hAnsi="Arial" w:cs="Arial"/>
          <w:iCs/>
          <w:sz w:val="24"/>
          <w:szCs w:val="24"/>
        </w:rPr>
        <w:t>he overall effect of this SI is that the</w:t>
      </w:r>
      <w:r w:rsidRPr="007919D1">
        <w:rPr>
          <w:rFonts w:ascii="Arial" w:hAnsi="Arial" w:cs="Arial"/>
          <w:iCs/>
          <w:sz w:val="24"/>
          <w:szCs w:val="24"/>
        </w:rPr>
        <w:t xml:space="preserve"> current arrangements </w:t>
      </w:r>
      <w:r w:rsidR="00B76957">
        <w:rPr>
          <w:rFonts w:ascii="Arial" w:hAnsi="Arial" w:cs="Arial"/>
          <w:iCs/>
          <w:sz w:val="24"/>
          <w:szCs w:val="24"/>
        </w:rPr>
        <w:t xml:space="preserve">and protections </w:t>
      </w:r>
      <w:r w:rsidRPr="007919D1">
        <w:rPr>
          <w:rFonts w:ascii="Arial" w:hAnsi="Arial" w:cs="Arial"/>
          <w:iCs/>
          <w:sz w:val="24"/>
          <w:szCs w:val="24"/>
        </w:rPr>
        <w:t>which apply to</w:t>
      </w:r>
      <w:r w:rsidR="00726062">
        <w:rPr>
          <w:rFonts w:ascii="Arial" w:hAnsi="Arial" w:cs="Arial"/>
          <w:iCs/>
          <w:sz w:val="24"/>
          <w:szCs w:val="24"/>
        </w:rPr>
        <w:t xml:space="preserve"> the</w:t>
      </w:r>
      <w:r w:rsidRPr="007919D1">
        <w:rPr>
          <w:rFonts w:ascii="Arial" w:hAnsi="Arial" w:cs="Arial"/>
          <w:iCs/>
          <w:sz w:val="24"/>
          <w:szCs w:val="24"/>
        </w:rPr>
        <w:t xml:space="preserve"> variation of rent in relation these specific tenancies will continue to apply.</w:t>
      </w:r>
      <w:r>
        <w:rPr>
          <w:rFonts w:ascii="Arial" w:hAnsi="Arial" w:cs="Arial"/>
          <w:iCs/>
          <w:sz w:val="24"/>
          <w:szCs w:val="24"/>
        </w:rPr>
        <w:br/>
      </w:r>
    </w:p>
    <w:p w14:paraId="5F923915" w14:textId="77777777" w:rsidR="00A54596" w:rsidRDefault="00964765" w:rsidP="00D33F19">
      <w:pPr>
        <w:spacing w:after="200" w:line="276" w:lineRule="auto"/>
        <w:contextualSpacing/>
        <w:rPr>
          <w:rFonts w:ascii="Arial" w:hAnsi="Arial" w:cs="Arial"/>
          <w:sz w:val="24"/>
          <w:szCs w:val="24"/>
        </w:rPr>
      </w:pPr>
      <w:r>
        <w:rPr>
          <w:rFonts w:ascii="Arial" w:hAnsi="Arial" w:cs="Arial"/>
          <w:sz w:val="24"/>
          <w:szCs w:val="24"/>
        </w:rPr>
        <w:t>All of the</w:t>
      </w:r>
      <w:r w:rsidR="00A54596">
        <w:rPr>
          <w:rFonts w:ascii="Arial" w:hAnsi="Arial" w:cs="Arial"/>
          <w:sz w:val="24"/>
          <w:szCs w:val="24"/>
        </w:rPr>
        <w:t>se</w:t>
      </w:r>
      <w:r>
        <w:rPr>
          <w:rFonts w:ascii="Arial" w:hAnsi="Arial" w:cs="Arial"/>
          <w:sz w:val="24"/>
          <w:szCs w:val="24"/>
        </w:rPr>
        <w:t xml:space="preserve"> statu</w:t>
      </w:r>
      <w:r w:rsidR="00EF6A56">
        <w:rPr>
          <w:rFonts w:ascii="Arial" w:hAnsi="Arial" w:cs="Arial"/>
          <w:sz w:val="24"/>
          <w:szCs w:val="24"/>
        </w:rPr>
        <w:t xml:space="preserve">tory instruments can be accessed </w:t>
      </w:r>
      <w:hyperlink r:id="rId12" w:history="1">
        <w:r w:rsidR="00EF6A56" w:rsidRPr="00EF6A56">
          <w:rPr>
            <w:rStyle w:val="Hyperlink"/>
            <w:rFonts w:ascii="Arial" w:hAnsi="Arial" w:cs="Arial"/>
            <w:sz w:val="24"/>
            <w:szCs w:val="24"/>
          </w:rPr>
          <w:t>here</w:t>
        </w:r>
      </w:hyperlink>
      <w:r w:rsidR="00EF6A56">
        <w:rPr>
          <w:rFonts w:ascii="Arial" w:hAnsi="Arial" w:cs="Arial"/>
          <w:sz w:val="24"/>
          <w:szCs w:val="24"/>
        </w:rPr>
        <w:t>.</w:t>
      </w:r>
      <w:r w:rsidR="00EF6A56">
        <w:rPr>
          <w:rFonts w:ascii="Arial" w:hAnsi="Arial" w:cs="Arial"/>
          <w:sz w:val="24"/>
          <w:szCs w:val="24"/>
        </w:rPr>
        <w:br/>
      </w:r>
    </w:p>
    <w:p w14:paraId="6BCB6286" w14:textId="7617C2D7" w:rsidR="008F0295" w:rsidRDefault="00A54596" w:rsidP="00D33F19">
      <w:pPr>
        <w:spacing w:after="200" w:line="276" w:lineRule="auto"/>
        <w:contextualSpacing/>
        <w:rPr>
          <w:rFonts w:ascii="Arial" w:hAnsi="Arial" w:cs="Arial"/>
          <w:sz w:val="24"/>
          <w:szCs w:val="24"/>
        </w:rPr>
      </w:pPr>
      <w:r>
        <w:rPr>
          <w:rFonts w:ascii="Arial" w:hAnsi="Arial" w:cs="Arial"/>
          <w:sz w:val="24"/>
          <w:szCs w:val="24"/>
        </w:rPr>
        <w:t>I will</w:t>
      </w:r>
      <w:r w:rsidR="00D05A5E">
        <w:rPr>
          <w:rFonts w:ascii="Arial" w:hAnsi="Arial" w:cs="Arial"/>
          <w:sz w:val="24"/>
          <w:szCs w:val="24"/>
        </w:rPr>
        <w:t xml:space="preserve"> also shortly</w:t>
      </w:r>
      <w:r>
        <w:rPr>
          <w:rFonts w:ascii="Arial" w:hAnsi="Arial" w:cs="Arial"/>
          <w:sz w:val="24"/>
          <w:szCs w:val="24"/>
        </w:rPr>
        <w:t xml:space="preserve"> be laying three </w:t>
      </w:r>
      <w:r w:rsidR="008D3DE0">
        <w:rPr>
          <w:rFonts w:ascii="Arial" w:hAnsi="Arial" w:cs="Arial"/>
          <w:sz w:val="24"/>
          <w:szCs w:val="24"/>
        </w:rPr>
        <w:t xml:space="preserve">further implementation </w:t>
      </w:r>
      <w:r>
        <w:rPr>
          <w:rFonts w:ascii="Arial" w:hAnsi="Arial" w:cs="Arial"/>
          <w:sz w:val="24"/>
          <w:szCs w:val="24"/>
        </w:rPr>
        <w:t>SIs</w:t>
      </w:r>
      <w:r w:rsidRPr="00A54596">
        <w:rPr>
          <w:rFonts w:ascii="Arial" w:hAnsi="Arial" w:cs="Arial"/>
          <w:sz w:val="24"/>
          <w:szCs w:val="24"/>
        </w:rPr>
        <w:t xml:space="preserve">.  These </w:t>
      </w:r>
      <w:r>
        <w:rPr>
          <w:rFonts w:ascii="Arial" w:hAnsi="Arial" w:cs="Arial"/>
          <w:sz w:val="24"/>
          <w:szCs w:val="24"/>
        </w:rPr>
        <w:t>are being made via the Senedd’s negative procedure so w</w:t>
      </w:r>
      <w:r w:rsidRPr="00A54596">
        <w:rPr>
          <w:rFonts w:ascii="Arial" w:hAnsi="Arial" w:cs="Arial"/>
          <w:sz w:val="24"/>
          <w:szCs w:val="24"/>
        </w:rPr>
        <w:t>ill not be subject to Senedd debate</w:t>
      </w:r>
      <w:r>
        <w:rPr>
          <w:rFonts w:ascii="Arial" w:hAnsi="Arial" w:cs="Arial"/>
          <w:sz w:val="24"/>
          <w:szCs w:val="24"/>
        </w:rPr>
        <w:t>.  I</w:t>
      </w:r>
      <w:r w:rsidRPr="00A54596">
        <w:rPr>
          <w:rFonts w:ascii="Arial" w:hAnsi="Arial" w:cs="Arial"/>
          <w:sz w:val="24"/>
          <w:szCs w:val="24"/>
        </w:rPr>
        <w:t xml:space="preserve"> will publish a further written statement to alert Members </w:t>
      </w:r>
      <w:r>
        <w:rPr>
          <w:rFonts w:ascii="Arial" w:hAnsi="Arial" w:cs="Arial"/>
          <w:sz w:val="24"/>
          <w:szCs w:val="24"/>
        </w:rPr>
        <w:t>when th</w:t>
      </w:r>
      <w:r w:rsidR="001F55FE">
        <w:rPr>
          <w:rFonts w:ascii="Arial" w:hAnsi="Arial" w:cs="Arial"/>
          <w:sz w:val="24"/>
          <w:szCs w:val="24"/>
        </w:rPr>
        <w:t>ose SIs</w:t>
      </w:r>
      <w:r>
        <w:rPr>
          <w:rFonts w:ascii="Arial" w:hAnsi="Arial" w:cs="Arial"/>
          <w:sz w:val="24"/>
          <w:szCs w:val="24"/>
        </w:rPr>
        <w:t xml:space="preserve"> have been published.</w:t>
      </w:r>
      <w:r w:rsidRPr="00A54596">
        <w:rPr>
          <w:rFonts w:ascii="Arial" w:hAnsi="Arial" w:cs="Arial"/>
          <w:sz w:val="24"/>
          <w:szCs w:val="24"/>
        </w:rPr>
        <w:t xml:space="preserve">    </w:t>
      </w:r>
    </w:p>
    <w:p w14:paraId="7F2D29D5" w14:textId="77777777" w:rsidR="00A54596" w:rsidRDefault="00A54596" w:rsidP="00D33F19">
      <w:pPr>
        <w:spacing w:after="200" w:line="276" w:lineRule="auto"/>
        <w:contextualSpacing/>
        <w:rPr>
          <w:rFonts w:ascii="Arial" w:hAnsi="Arial" w:cs="Arial"/>
          <w:sz w:val="24"/>
          <w:szCs w:val="24"/>
        </w:rPr>
      </w:pPr>
    </w:p>
    <w:p w14:paraId="66B648B1" w14:textId="6AC97331" w:rsidR="008F0295" w:rsidRDefault="00EF6A56" w:rsidP="008F0295">
      <w:pPr>
        <w:spacing w:after="200" w:line="276" w:lineRule="auto"/>
        <w:contextualSpacing/>
        <w:rPr>
          <w:rFonts w:ascii="Arial" w:hAnsi="Arial" w:cs="Arial"/>
          <w:sz w:val="24"/>
          <w:szCs w:val="24"/>
        </w:rPr>
      </w:pPr>
      <w:r>
        <w:rPr>
          <w:rFonts w:ascii="Arial" w:hAnsi="Arial" w:cs="Arial"/>
          <w:sz w:val="24"/>
          <w:szCs w:val="24"/>
        </w:rPr>
        <w:t>G</w:t>
      </w:r>
      <w:r w:rsidR="00964765">
        <w:rPr>
          <w:rFonts w:ascii="Arial" w:hAnsi="Arial" w:cs="Arial"/>
          <w:sz w:val="24"/>
          <w:szCs w:val="24"/>
        </w:rPr>
        <w:t xml:space="preserve">uidance, and other resources for landlords and tenants can be accessed via the Renting Homes Wales website: </w:t>
      </w:r>
      <w:hyperlink r:id="rId13" w:history="1">
        <w:r w:rsidR="00964765" w:rsidRPr="00987B7C">
          <w:rPr>
            <w:rStyle w:val="Hyperlink"/>
            <w:rFonts w:ascii="Arial" w:hAnsi="Arial" w:cs="Arial"/>
            <w:sz w:val="24"/>
            <w:szCs w:val="24"/>
          </w:rPr>
          <w:t>https://gov.wales/housing-law-changing-renting-homes</w:t>
        </w:r>
      </w:hyperlink>
      <w:r w:rsidR="00964765">
        <w:rPr>
          <w:rFonts w:ascii="Arial" w:hAnsi="Arial" w:cs="Arial"/>
          <w:sz w:val="24"/>
          <w:szCs w:val="24"/>
        </w:rPr>
        <w:t>.</w:t>
      </w:r>
      <w:r w:rsidR="00964765">
        <w:rPr>
          <w:rFonts w:ascii="Arial" w:hAnsi="Arial" w:cs="Arial"/>
          <w:sz w:val="24"/>
          <w:szCs w:val="24"/>
        </w:rPr>
        <w:br/>
      </w:r>
      <w:r w:rsidR="00964765">
        <w:rPr>
          <w:rFonts w:ascii="Arial" w:hAnsi="Arial" w:cs="Arial"/>
          <w:sz w:val="24"/>
          <w:szCs w:val="24"/>
        </w:rPr>
        <w:br/>
      </w:r>
    </w:p>
    <w:p w14:paraId="5FF61DFE" w14:textId="7F06354C" w:rsidR="00BB3A00" w:rsidRDefault="00002E83" w:rsidP="00345D7A">
      <w:pPr>
        <w:spacing w:after="200" w:line="276" w:lineRule="auto"/>
        <w:contextualSpacing/>
        <w:rPr>
          <w:rFonts w:ascii="Arial" w:hAnsi="Arial" w:cs="Arial"/>
          <w:sz w:val="24"/>
          <w:szCs w:val="24"/>
        </w:rPr>
      </w:pPr>
      <w:r>
        <w:rPr>
          <w:rFonts w:ascii="Arial" w:hAnsi="Arial" w:cs="Arial"/>
          <w:sz w:val="24"/>
          <w:szCs w:val="24"/>
        </w:rPr>
        <w:br/>
      </w:r>
      <w:r w:rsidR="00D33F19">
        <w:rPr>
          <w:rFonts w:ascii="Arial" w:hAnsi="Arial" w:cs="Arial"/>
          <w:sz w:val="24"/>
          <w:szCs w:val="24"/>
        </w:rPr>
        <w:br/>
      </w:r>
      <w:r w:rsidR="00D33F19">
        <w:rPr>
          <w:rFonts w:ascii="Arial" w:hAnsi="Arial" w:cs="Arial"/>
          <w:sz w:val="24"/>
          <w:szCs w:val="24"/>
        </w:rPr>
        <w:br/>
      </w:r>
    </w:p>
    <w:sectPr w:rsidR="00BB3A00" w:rsidSect="001A39E2">
      <w:footerReference w:type="even" r:id="rId14"/>
      <w:footerReference w:type="default" r:id="rId15"/>
      <w:headerReference w:type="first" r:id="rId16"/>
      <w:footerReference w:type="first" r:id="rId17"/>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6EF3" w14:textId="77777777" w:rsidR="007A2493" w:rsidRDefault="007A2493">
      <w:r>
        <w:separator/>
      </w:r>
    </w:p>
  </w:endnote>
  <w:endnote w:type="continuationSeparator" w:id="0">
    <w:p w14:paraId="4EE36DD6" w14:textId="77777777" w:rsidR="007A2493" w:rsidRDefault="007A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0EF1" w14:textId="77777777" w:rsidR="001A6A8D" w:rsidRDefault="001A6A8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D11CF" w14:textId="77777777" w:rsidR="001A6A8D" w:rsidRDefault="001A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4BF1" w14:textId="3BC3A074" w:rsidR="001A6A8D" w:rsidRDefault="001A6A8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A56">
      <w:rPr>
        <w:rStyle w:val="PageNumber"/>
        <w:noProof/>
      </w:rPr>
      <w:t>3</w:t>
    </w:r>
    <w:r>
      <w:rPr>
        <w:rStyle w:val="PageNumber"/>
      </w:rPr>
      <w:fldChar w:fldCharType="end"/>
    </w:r>
  </w:p>
  <w:p w14:paraId="16271A85" w14:textId="77777777" w:rsidR="001A6A8D" w:rsidRDefault="001A6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18A6" w14:textId="7A89B65C" w:rsidR="001A6A8D" w:rsidRPr="005D2A41" w:rsidRDefault="001A6A8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F6A56">
      <w:rPr>
        <w:rStyle w:val="PageNumber"/>
        <w:rFonts w:ascii="Arial" w:hAnsi="Arial" w:cs="Arial"/>
        <w:noProof/>
        <w:sz w:val="24"/>
        <w:szCs w:val="24"/>
      </w:rPr>
      <w:t>1</w:t>
    </w:r>
    <w:r w:rsidRPr="005D2A41">
      <w:rPr>
        <w:rStyle w:val="PageNumber"/>
        <w:rFonts w:ascii="Arial" w:hAnsi="Arial" w:cs="Arial"/>
        <w:sz w:val="24"/>
        <w:szCs w:val="24"/>
      </w:rPr>
      <w:fldChar w:fldCharType="end"/>
    </w:r>
  </w:p>
  <w:p w14:paraId="72165FC9" w14:textId="77777777" w:rsidR="001A6A8D" w:rsidRPr="00A845A9" w:rsidRDefault="001A6A8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3EDF" w14:textId="77777777" w:rsidR="007A2493" w:rsidRDefault="007A2493">
      <w:r>
        <w:separator/>
      </w:r>
    </w:p>
  </w:footnote>
  <w:footnote w:type="continuationSeparator" w:id="0">
    <w:p w14:paraId="4E096AC4" w14:textId="77777777" w:rsidR="007A2493" w:rsidRDefault="007A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360F" w14:textId="77777777" w:rsidR="001A6A8D" w:rsidRDefault="001A6A8D">
    <w:r>
      <w:rPr>
        <w:noProof/>
        <w:lang w:eastAsia="en-GB"/>
      </w:rPr>
      <w:drawing>
        <wp:anchor distT="0" distB="0" distL="114300" distR="114300" simplePos="0" relativeHeight="251657728" behindDoc="1" locked="0" layoutInCell="1" allowOverlap="1" wp14:anchorId="42437C84" wp14:editId="320CAE6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0F6E034" w14:textId="77777777" w:rsidR="001A6A8D" w:rsidRDefault="001A6A8D">
    <w:pPr>
      <w:pStyle w:val="Header"/>
    </w:pPr>
  </w:p>
  <w:p w14:paraId="3A03DD05" w14:textId="77777777" w:rsidR="001A6A8D" w:rsidRDefault="001A6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656B"/>
    <w:multiLevelType w:val="hybridMultilevel"/>
    <w:tmpl w:val="DDD6E8D0"/>
    <w:lvl w:ilvl="0" w:tplc="339AE464">
      <w:start w:val="1"/>
      <w:numFmt w:val="decimal"/>
      <w:lvlText w:val="%1."/>
      <w:lvlJc w:val="left"/>
      <w:pPr>
        <w:ind w:left="360" w:hanging="360"/>
      </w:pPr>
      <w:rPr>
        <w:b w:val="0"/>
        <w:i w:val="0"/>
        <w:sz w:val="24"/>
        <w:szCs w:val="24"/>
      </w:rPr>
    </w:lvl>
    <w:lvl w:ilvl="1" w:tplc="A674573C">
      <w:start w:val="1"/>
      <w:numFmt w:val="bullet"/>
      <w:lvlText w:val=""/>
      <w:lvlJc w:val="left"/>
      <w:pPr>
        <w:ind w:left="1157" w:hanging="360"/>
      </w:pPr>
      <w:rPr>
        <w:rFonts w:ascii="Symbol" w:hAnsi="Symbol" w:hint="default"/>
        <w:sz w:val="24"/>
      </w:rPr>
    </w:lvl>
    <w:lvl w:ilvl="2" w:tplc="0809001B">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 w15:restartNumberingAfterBreak="0">
    <w:nsid w:val="1FC91699"/>
    <w:multiLevelType w:val="hybridMultilevel"/>
    <w:tmpl w:val="B6E26C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3A6DC6"/>
    <w:multiLevelType w:val="hybridMultilevel"/>
    <w:tmpl w:val="472E3D00"/>
    <w:lvl w:ilvl="0" w:tplc="57B2C092">
      <w:start w:val="1"/>
      <w:numFmt w:val="bullet"/>
      <w:lvlText w:val=""/>
      <w:lvlJc w:val="left"/>
      <w:pPr>
        <w:ind w:left="720" w:hanging="360"/>
      </w:pPr>
      <w:rPr>
        <w:rFonts w:ascii="Symbol" w:hAnsi="Symbol" w:hint="default"/>
        <w:sz w:val="24"/>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AD4085"/>
    <w:multiLevelType w:val="hybridMultilevel"/>
    <w:tmpl w:val="E6C2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B5982"/>
    <w:multiLevelType w:val="hybridMultilevel"/>
    <w:tmpl w:val="53AEC6B2"/>
    <w:lvl w:ilvl="0" w:tplc="47FAA60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3D66B9"/>
    <w:multiLevelType w:val="hybridMultilevel"/>
    <w:tmpl w:val="CCE2A590"/>
    <w:lvl w:ilvl="0" w:tplc="F4AC20F0">
      <w:start w:val="1"/>
      <w:numFmt w:val="lowerRoman"/>
      <w:lvlText w:val="%1."/>
      <w:lvlJc w:val="right"/>
      <w:pPr>
        <w:ind w:left="2160" w:hanging="360"/>
      </w:pPr>
      <w:rPr>
        <w:sz w:val="24"/>
        <w:szCs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71D66B39"/>
    <w:multiLevelType w:val="hybridMultilevel"/>
    <w:tmpl w:val="CDD4CB48"/>
    <w:lvl w:ilvl="0" w:tplc="391E9F1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0B325E"/>
    <w:multiLevelType w:val="hybridMultilevel"/>
    <w:tmpl w:val="E58A61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BD6D45"/>
    <w:multiLevelType w:val="hybridMultilevel"/>
    <w:tmpl w:val="1C64AD04"/>
    <w:lvl w:ilvl="0" w:tplc="A3BC0E70">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8010651">
    <w:abstractNumId w:val="3"/>
  </w:num>
  <w:num w:numId="2" w16cid:durableId="1208294335">
    <w:abstractNumId w:val="5"/>
  </w:num>
  <w:num w:numId="3" w16cid:durableId="39331173">
    <w:abstractNumId w:val="4"/>
  </w:num>
  <w:num w:numId="4" w16cid:durableId="294331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2790152">
    <w:abstractNumId w:val="1"/>
  </w:num>
  <w:num w:numId="6" w16cid:durableId="924344009">
    <w:abstractNumId w:val="0"/>
  </w:num>
  <w:num w:numId="7" w16cid:durableId="118501943">
    <w:abstractNumId w:val="8"/>
  </w:num>
  <w:num w:numId="8" w16cid:durableId="885876570">
    <w:abstractNumId w:val="6"/>
  </w:num>
  <w:num w:numId="9" w16cid:durableId="347147943">
    <w:abstractNumId w:val="2"/>
  </w:num>
  <w:num w:numId="10" w16cid:durableId="819926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FA1"/>
    <w:rsid w:val="00002E83"/>
    <w:rsid w:val="00004135"/>
    <w:rsid w:val="00023765"/>
    <w:rsid w:val="00023B69"/>
    <w:rsid w:val="0003136F"/>
    <w:rsid w:val="00033EDF"/>
    <w:rsid w:val="0005101D"/>
    <w:rsid w:val="000516D9"/>
    <w:rsid w:val="00064D6E"/>
    <w:rsid w:val="0006774B"/>
    <w:rsid w:val="00082B81"/>
    <w:rsid w:val="00090C3D"/>
    <w:rsid w:val="00094CDE"/>
    <w:rsid w:val="00097118"/>
    <w:rsid w:val="00097E88"/>
    <w:rsid w:val="000A7C48"/>
    <w:rsid w:val="000C3A52"/>
    <w:rsid w:val="000C53DB"/>
    <w:rsid w:val="000C5E9B"/>
    <w:rsid w:val="000C799E"/>
    <w:rsid w:val="000D72F7"/>
    <w:rsid w:val="000F2331"/>
    <w:rsid w:val="00105F87"/>
    <w:rsid w:val="00115BFB"/>
    <w:rsid w:val="00116935"/>
    <w:rsid w:val="00133EE2"/>
    <w:rsid w:val="00134918"/>
    <w:rsid w:val="00136E1D"/>
    <w:rsid w:val="001460B1"/>
    <w:rsid w:val="00167343"/>
    <w:rsid w:val="0017102C"/>
    <w:rsid w:val="001770D0"/>
    <w:rsid w:val="001A39E2"/>
    <w:rsid w:val="001A4548"/>
    <w:rsid w:val="001A4D20"/>
    <w:rsid w:val="001A6A8D"/>
    <w:rsid w:val="001A6AF1"/>
    <w:rsid w:val="001B027C"/>
    <w:rsid w:val="001B288D"/>
    <w:rsid w:val="001B2CDF"/>
    <w:rsid w:val="001B5651"/>
    <w:rsid w:val="001C1431"/>
    <w:rsid w:val="001C4D26"/>
    <w:rsid w:val="001C532F"/>
    <w:rsid w:val="001C5C19"/>
    <w:rsid w:val="001E348F"/>
    <w:rsid w:val="001E53BF"/>
    <w:rsid w:val="001E6FD4"/>
    <w:rsid w:val="001F4DFD"/>
    <w:rsid w:val="001F55FE"/>
    <w:rsid w:val="00203943"/>
    <w:rsid w:val="00214596"/>
    <w:rsid w:val="00214B25"/>
    <w:rsid w:val="00223E62"/>
    <w:rsid w:val="00247BC4"/>
    <w:rsid w:val="00262B37"/>
    <w:rsid w:val="00271F40"/>
    <w:rsid w:val="00274F08"/>
    <w:rsid w:val="0028340B"/>
    <w:rsid w:val="0029494D"/>
    <w:rsid w:val="002A5310"/>
    <w:rsid w:val="002A57C3"/>
    <w:rsid w:val="002B18CE"/>
    <w:rsid w:val="002B1DC3"/>
    <w:rsid w:val="002C1E49"/>
    <w:rsid w:val="002C57B6"/>
    <w:rsid w:val="002F0EB9"/>
    <w:rsid w:val="002F53A9"/>
    <w:rsid w:val="0030636D"/>
    <w:rsid w:val="00314BF3"/>
    <w:rsid w:val="00314E36"/>
    <w:rsid w:val="003220C1"/>
    <w:rsid w:val="00323350"/>
    <w:rsid w:val="003377C4"/>
    <w:rsid w:val="00345D7A"/>
    <w:rsid w:val="00347321"/>
    <w:rsid w:val="00347F73"/>
    <w:rsid w:val="00356D7B"/>
    <w:rsid w:val="00357893"/>
    <w:rsid w:val="003670C1"/>
    <w:rsid w:val="00370471"/>
    <w:rsid w:val="003809C7"/>
    <w:rsid w:val="00395512"/>
    <w:rsid w:val="003A08BF"/>
    <w:rsid w:val="003B0DE5"/>
    <w:rsid w:val="003B1503"/>
    <w:rsid w:val="003B3D64"/>
    <w:rsid w:val="003C5133"/>
    <w:rsid w:val="003D3E9A"/>
    <w:rsid w:val="003E3AE5"/>
    <w:rsid w:val="003E4CD3"/>
    <w:rsid w:val="00412673"/>
    <w:rsid w:val="00413B89"/>
    <w:rsid w:val="00417659"/>
    <w:rsid w:val="00420808"/>
    <w:rsid w:val="00420A7B"/>
    <w:rsid w:val="0043031D"/>
    <w:rsid w:val="00431AF4"/>
    <w:rsid w:val="0044292D"/>
    <w:rsid w:val="0046757C"/>
    <w:rsid w:val="00485736"/>
    <w:rsid w:val="004A4859"/>
    <w:rsid w:val="004B1501"/>
    <w:rsid w:val="004F1723"/>
    <w:rsid w:val="00500E1A"/>
    <w:rsid w:val="00502528"/>
    <w:rsid w:val="005123B7"/>
    <w:rsid w:val="00516A31"/>
    <w:rsid w:val="00524620"/>
    <w:rsid w:val="00530CEE"/>
    <w:rsid w:val="00546A88"/>
    <w:rsid w:val="00552FEA"/>
    <w:rsid w:val="00560F1F"/>
    <w:rsid w:val="00571762"/>
    <w:rsid w:val="00574BB3"/>
    <w:rsid w:val="00580D13"/>
    <w:rsid w:val="005860A0"/>
    <w:rsid w:val="0058680A"/>
    <w:rsid w:val="005917D7"/>
    <w:rsid w:val="00596FC0"/>
    <w:rsid w:val="005A1FB7"/>
    <w:rsid w:val="005A22E2"/>
    <w:rsid w:val="005B030B"/>
    <w:rsid w:val="005C2A8B"/>
    <w:rsid w:val="005D2A41"/>
    <w:rsid w:val="005D7663"/>
    <w:rsid w:val="005D7900"/>
    <w:rsid w:val="005F0980"/>
    <w:rsid w:val="005F1659"/>
    <w:rsid w:val="00603548"/>
    <w:rsid w:val="006036BC"/>
    <w:rsid w:val="00617D06"/>
    <w:rsid w:val="006277D8"/>
    <w:rsid w:val="0063192C"/>
    <w:rsid w:val="006354F1"/>
    <w:rsid w:val="00635B3E"/>
    <w:rsid w:val="006515AC"/>
    <w:rsid w:val="00654C0A"/>
    <w:rsid w:val="00663223"/>
    <w:rsid w:val="006633C7"/>
    <w:rsid w:val="00663F04"/>
    <w:rsid w:val="00665159"/>
    <w:rsid w:val="00667B45"/>
    <w:rsid w:val="00670227"/>
    <w:rsid w:val="006814BD"/>
    <w:rsid w:val="00684B72"/>
    <w:rsid w:val="0068549B"/>
    <w:rsid w:val="00687F47"/>
    <w:rsid w:val="0069133F"/>
    <w:rsid w:val="00695C11"/>
    <w:rsid w:val="006A2971"/>
    <w:rsid w:val="006B340E"/>
    <w:rsid w:val="006B461D"/>
    <w:rsid w:val="006C1C27"/>
    <w:rsid w:val="006D50A9"/>
    <w:rsid w:val="006D7A90"/>
    <w:rsid w:val="006E0A2C"/>
    <w:rsid w:val="006F5B4D"/>
    <w:rsid w:val="00703993"/>
    <w:rsid w:val="00703AC8"/>
    <w:rsid w:val="007248B1"/>
    <w:rsid w:val="00726062"/>
    <w:rsid w:val="007316A4"/>
    <w:rsid w:val="0073380E"/>
    <w:rsid w:val="00736808"/>
    <w:rsid w:val="007439FE"/>
    <w:rsid w:val="00743B79"/>
    <w:rsid w:val="00745B1A"/>
    <w:rsid w:val="007523BC"/>
    <w:rsid w:val="00752C48"/>
    <w:rsid w:val="007633ED"/>
    <w:rsid w:val="007852E5"/>
    <w:rsid w:val="007A05FB"/>
    <w:rsid w:val="007A2493"/>
    <w:rsid w:val="007A66CE"/>
    <w:rsid w:val="007B2983"/>
    <w:rsid w:val="007B5260"/>
    <w:rsid w:val="007B73F1"/>
    <w:rsid w:val="007C07F1"/>
    <w:rsid w:val="007C24E7"/>
    <w:rsid w:val="007D1402"/>
    <w:rsid w:val="007D4CA3"/>
    <w:rsid w:val="007D75F6"/>
    <w:rsid w:val="007F21CA"/>
    <w:rsid w:val="007F27DA"/>
    <w:rsid w:val="007F5E64"/>
    <w:rsid w:val="00800FA0"/>
    <w:rsid w:val="0081105B"/>
    <w:rsid w:val="00812370"/>
    <w:rsid w:val="0082411A"/>
    <w:rsid w:val="00841628"/>
    <w:rsid w:val="00846160"/>
    <w:rsid w:val="00860432"/>
    <w:rsid w:val="00867DCD"/>
    <w:rsid w:val="008704EC"/>
    <w:rsid w:val="00871741"/>
    <w:rsid w:val="00871EC7"/>
    <w:rsid w:val="00877BD2"/>
    <w:rsid w:val="008A36AE"/>
    <w:rsid w:val="008A4D2F"/>
    <w:rsid w:val="008B1768"/>
    <w:rsid w:val="008B7927"/>
    <w:rsid w:val="008D1E0B"/>
    <w:rsid w:val="008D3563"/>
    <w:rsid w:val="008D3AC0"/>
    <w:rsid w:val="008D3DE0"/>
    <w:rsid w:val="008D6680"/>
    <w:rsid w:val="008D709B"/>
    <w:rsid w:val="008F0295"/>
    <w:rsid w:val="008F0CC6"/>
    <w:rsid w:val="008F28CB"/>
    <w:rsid w:val="008F789E"/>
    <w:rsid w:val="0090022C"/>
    <w:rsid w:val="009032AF"/>
    <w:rsid w:val="00905771"/>
    <w:rsid w:val="00916F53"/>
    <w:rsid w:val="00934E8E"/>
    <w:rsid w:val="00953A46"/>
    <w:rsid w:val="00964765"/>
    <w:rsid w:val="00967473"/>
    <w:rsid w:val="00973090"/>
    <w:rsid w:val="00995EEC"/>
    <w:rsid w:val="00996344"/>
    <w:rsid w:val="009A0D0D"/>
    <w:rsid w:val="009B2364"/>
    <w:rsid w:val="009C24CE"/>
    <w:rsid w:val="009D1FAE"/>
    <w:rsid w:val="009D26D8"/>
    <w:rsid w:val="009D37E9"/>
    <w:rsid w:val="009E4974"/>
    <w:rsid w:val="009F06C3"/>
    <w:rsid w:val="009F2679"/>
    <w:rsid w:val="009F6CC4"/>
    <w:rsid w:val="009F7F6F"/>
    <w:rsid w:val="00A00DEC"/>
    <w:rsid w:val="00A03D94"/>
    <w:rsid w:val="00A03EE7"/>
    <w:rsid w:val="00A10318"/>
    <w:rsid w:val="00A11E25"/>
    <w:rsid w:val="00A204C9"/>
    <w:rsid w:val="00A23742"/>
    <w:rsid w:val="00A24E97"/>
    <w:rsid w:val="00A3247B"/>
    <w:rsid w:val="00A35911"/>
    <w:rsid w:val="00A54596"/>
    <w:rsid w:val="00A54D61"/>
    <w:rsid w:val="00A72CF3"/>
    <w:rsid w:val="00A75D60"/>
    <w:rsid w:val="00A82A45"/>
    <w:rsid w:val="00A845A9"/>
    <w:rsid w:val="00A86958"/>
    <w:rsid w:val="00A9404A"/>
    <w:rsid w:val="00A965CB"/>
    <w:rsid w:val="00AA2141"/>
    <w:rsid w:val="00AA5651"/>
    <w:rsid w:val="00AA5848"/>
    <w:rsid w:val="00AA7750"/>
    <w:rsid w:val="00AA7D52"/>
    <w:rsid w:val="00AB6E4C"/>
    <w:rsid w:val="00AD2DD5"/>
    <w:rsid w:val="00AD4C92"/>
    <w:rsid w:val="00AD52DB"/>
    <w:rsid w:val="00AD65F1"/>
    <w:rsid w:val="00AD7E1C"/>
    <w:rsid w:val="00AE064D"/>
    <w:rsid w:val="00AF056B"/>
    <w:rsid w:val="00B0088A"/>
    <w:rsid w:val="00B03283"/>
    <w:rsid w:val="00B049B1"/>
    <w:rsid w:val="00B239BA"/>
    <w:rsid w:val="00B302B3"/>
    <w:rsid w:val="00B34F2B"/>
    <w:rsid w:val="00B414BE"/>
    <w:rsid w:val="00B468BB"/>
    <w:rsid w:val="00B51B37"/>
    <w:rsid w:val="00B603B2"/>
    <w:rsid w:val="00B61AE2"/>
    <w:rsid w:val="00B732B9"/>
    <w:rsid w:val="00B76957"/>
    <w:rsid w:val="00B81F17"/>
    <w:rsid w:val="00B85A1D"/>
    <w:rsid w:val="00B92EEB"/>
    <w:rsid w:val="00BA3BA3"/>
    <w:rsid w:val="00BB1735"/>
    <w:rsid w:val="00BB3A00"/>
    <w:rsid w:val="00BD267E"/>
    <w:rsid w:val="00BE0140"/>
    <w:rsid w:val="00BE72EB"/>
    <w:rsid w:val="00BF415C"/>
    <w:rsid w:val="00BF5BB3"/>
    <w:rsid w:val="00C0550D"/>
    <w:rsid w:val="00C05990"/>
    <w:rsid w:val="00C12415"/>
    <w:rsid w:val="00C26C93"/>
    <w:rsid w:val="00C3219D"/>
    <w:rsid w:val="00C37F08"/>
    <w:rsid w:val="00C43B4A"/>
    <w:rsid w:val="00C52FDC"/>
    <w:rsid w:val="00C64FA5"/>
    <w:rsid w:val="00C7050A"/>
    <w:rsid w:val="00C84A12"/>
    <w:rsid w:val="00C84F12"/>
    <w:rsid w:val="00C939A6"/>
    <w:rsid w:val="00CA4B07"/>
    <w:rsid w:val="00CC0598"/>
    <w:rsid w:val="00CC636B"/>
    <w:rsid w:val="00CE2EEF"/>
    <w:rsid w:val="00CE6E81"/>
    <w:rsid w:val="00CE71DC"/>
    <w:rsid w:val="00CF3DC5"/>
    <w:rsid w:val="00CF5752"/>
    <w:rsid w:val="00D017E2"/>
    <w:rsid w:val="00D05A5E"/>
    <w:rsid w:val="00D16D97"/>
    <w:rsid w:val="00D27F42"/>
    <w:rsid w:val="00D32353"/>
    <w:rsid w:val="00D33F19"/>
    <w:rsid w:val="00D51304"/>
    <w:rsid w:val="00D66F90"/>
    <w:rsid w:val="00D678FD"/>
    <w:rsid w:val="00D8052F"/>
    <w:rsid w:val="00D84713"/>
    <w:rsid w:val="00D95B67"/>
    <w:rsid w:val="00DA1ECA"/>
    <w:rsid w:val="00DA7335"/>
    <w:rsid w:val="00DC1EFB"/>
    <w:rsid w:val="00DC3043"/>
    <w:rsid w:val="00DD4B82"/>
    <w:rsid w:val="00DD5B83"/>
    <w:rsid w:val="00DE56C1"/>
    <w:rsid w:val="00DE5832"/>
    <w:rsid w:val="00E028B4"/>
    <w:rsid w:val="00E10769"/>
    <w:rsid w:val="00E1556F"/>
    <w:rsid w:val="00E218E4"/>
    <w:rsid w:val="00E3419E"/>
    <w:rsid w:val="00E42DFB"/>
    <w:rsid w:val="00E47B1A"/>
    <w:rsid w:val="00E631B1"/>
    <w:rsid w:val="00E667F8"/>
    <w:rsid w:val="00E72076"/>
    <w:rsid w:val="00E75C42"/>
    <w:rsid w:val="00E75C85"/>
    <w:rsid w:val="00E769EE"/>
    <w:rsid w:val="00E77C12"/>
    <w:rsid w:val="00EA5290"/>
    <w:rsid w:val="00EA613C"/>
    <w:rsid w:val="00EB104B"/>
    <w:rsid w:val="00EB248F"/>
    <w:rsid w:val="00EB5F93"/>
    <w:rsid w:val="00EC0568"/>
    <w:rsid w:val="00EC3413"/>
    <w:rsid w:val="00ED0539"/>
    <w:rsid w:val="00EE0143"/>
    <w:rsid w:val="00EE721A"/>
    <w:rsid w:val="00EF0404"/>
    <w:rsid w:val="00EF1D5F"/>
    <w:rsid w:val="00EF3446"/>
    <w:rsid w:val="00EF6A56"/>
    <w:rsid w:val="00EF7C50"/>
    <w:rsid w:val="00F00246"/>
    <w:rsid w:val="00F003EE"/>
    <w:rsid w:val="00F0272E"/>
    <w:rsid w:val="00F13637"/>
    <w:rsid w:val="00F1717E"/>
    <w:rsid w:val="00F2438B"/>
    <w:rsid w:val="00F24A6E"/>
    <w:rsid w:val="00F30750"/>
    <w:rsid w:val="00F3301F"/>
    <w:rsid w:val="00F41398"/>
    <w:rsid w:val="00F60080"/>
    <w:rsid w:val="00F662E1"/>
    <w:rsid w:val="00F71841"/>
    <w:rsid w:val="00F80B7C"/>
    <w:rsid w:val="00F81C33"/>
    <w:rsid w:val="00F923C2"/>
    <w:rsid w:val="00F97613"/>
    <w:rsid w:val="00FA71EB"/>
    <w:rsid w:val="00FB0228"/>
    <w:rsid w:val="00FD0B5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C02F6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rsid w:val="000F2331"/>
    <w:rPr>
      <w:rFonts w:ascii="TradeGothic" w:hAnsi="TradeGothic"/>
      <w:sz w:val="22"/>
      <w:lang w:eastAsia="en-US"/>
    </w:rPr>
  </w:style>
  <w:style w:type="character" w:styleId="FootnoteReference">
    <w:name w:val="footnote reference"/>
    <w:basedOn w:val="DefaultParagraphFont"/>
    <w:uiPriority w:val="99"/>
    <w:semiHidden/>
    <w:unhideWhenUsed/>
    <w:rsid w:val="000F2331"/>
    <w:rPr>
      <w:vertAlign w:val="superscript"/>
    </w:rPr>
  </w:style>
  <w:style w:type="character" w:customStyle="1" w:styleId="legds2">
    <w:name w:val="legds2"/>
    <w:basedOn w:val="DefaultParagraphFont"/>
    <w:rsid w:val="000F2331"/>
    <w:rPr>
      <w:vanish w:val="0"/>
      <w:webHidden w:val="0"/>
      <w:specVanish w:val="0"/>
    </w:rPr>
  </w:style>
  <w:style w:type="paragraph" w:styleId="FootnoteText">
    <w:name w:val="footnote text"/>
    <w:basedOn w:val="Normal"/>
    <w:link w:val="FootnoteTextChar"/>
    <w:uiPriority w:val="99"/>
    <w:semiHidden/>
    <w:unhideWhenUsed/>
    <w:rsid w:val="000F233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F2331"/>
    <w:rPr>
      <w:rFonts w:asciiTheme="minorHAnsi" w:eastAsiaTheme="minorHAnsi" w:hAnsiTheme="minorHAnsi" w:cstheme="minorBidi"/>
      <w:lang w:eastAsia="en-US"/>
    </w:rPr>
  </w:style>
  <w:style w:type="paragraph" w:customStyle="1" w:styleId="Default">
    <w:name w:val="Default"/>
    <w:rsid w:val="000D72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530CEE"/>
    <w:rPr>
      <w:rFonts w:ascii="Segoe UI" w:hAnsi="Segoe UI" w:cs="Segoe UI"/>
      <w:sz w:val="18"/>
      <w:szCs w:val="18"/>
    </w:rPr>
  </w:style>
  <w:style w:type="character" w:customStyle="1" w:styleId="BalloonTextChar">
    <w:name w:val="Balloon Text Char"/>
    <w:basedOn w:val="DefaultParagraphFont"/>
    <w:link w:val="BalloonText"/>
    <w:semiHidden/>
    <w:rsid w:val="00530CEE"/>
    <w:rPr>
      <w:rFonts w:ascii="Segoe UI" w:hAnsi="Segoe UI" w:cs="Segoe UI"/>
      <w:sz w:val="18"/>
      <w:szCs w:val="18"/>
      <w:lang w:eastAsia="en-US"/>
    </w:rPr>
  </w:style>
  <w:style w:type="character" w:styleId="CommentReference">
    <w:name w:val="annotation reference"/>
    <w:basedOn w:val="DefaultParagraphFont"/>
    <w:unhideWhenUsed/>
    <w:rsid w:val="00552FEA"/>
    <w:rPr>
      <w:sz w:val="16"/>
      <w:szCs w:val="16"/>
    </w:rPr>
  </w:style>
  <w:style w:type="paragraph" w:styleId="CommentText">
    <w:name w:val="annotation text"/>
    <w:basedOn w:val="Normal"/>
    <w:link w:val="CommentTextChar"/>
    <w:uiPriority w:val="99"/>
    <w:unhideWhenUsed/>
    <w:rsid w:val="00552FEA"/>
    <w:rPr>
      <w:sz w:val="20"/>
    </w:rPr>
  </w:style>
  <w:style w:type="character" w:customStyle="1" w:styleId="CommentTextChar">
    <w:name w:val="Comment Text Char"/>
    <w:basedOn w:val="DefaultParagraphFont"/>
    <w:link w:val="CommentText"/>
    <w:uiPriority w:val="99"/>
    <w:rsid w:val="00552FEA"/>
    <w:rPr>
      <w:rFonts w:ascii="TradeGothic" w:hAnsi="TradeGothic"/>
      <w:lang w:eastAsia="en-US"/>
    </w:rPr>
  </w:style>
  <w:style w:type="paragraph" w:styleId="CommentSubject">
    <w:name w:val="annotation subject"/>
    <w:basedOn w:val="CommentText"/>
    <w:next w:val="CommentText"/>
    <w:link w:val="CommentSubjectChar"/>
    <w:semiHidden/>
    <w:unhideWhenUsed/>
    <w:rsid w:val="00552FEA"/>
    <w:rPr>
      <w:b/>
      <w:bCs/>
    </w:rPr>
  </w:style>
  <w:style w:type="character" w:customStyle="1" w:styleId="CommentSubjectChar">
    <w:name w:val="Comment Subject Char"/>
    <w:basedOn w:val="CommentTextChar"/>
    <w:link w:val="CommentSubject"/>
    <w:semiHidden/>
    <w:rsid w:val="00552FEA"/>
    <w:rPr>
      <w:rFonts w:ascii="TradeGothic" w:hAnsi="TradeGothic"/>
      <w:b/>
      <w:bCs/>
      <w:lang w:eastAsia="en-US"/>
    </w:rPr>
  </w:style>
  <w:style w:type="paragraph" w:styleId="Revision">
    <w:name w:val="Revision"/>
    <w:hidden/>
    <w:uiPriority w:val="99"/>
    <w:semiHidden/>
    <w:rsid w:val="00E75C4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housing-law-changing-renting-hom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nedd.wales/search?PageSize=4&amp;Page=1&amp;Culture=en-GB&amp;ViewModelType=All&amp;IsSubSearch=False&amp;SiteHomePageId=0&amp;SearchTerm=&amp;DateFrom=&amp;DateTo=&amp;Members=&amp;IncludeLaidDocuments=tru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dd395e7510a522c3636195e056b39a1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fb103f2d66636e0f107c94c6528e0d5"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FF3C5B18883D4E21973B57C2EEED7FD1" version="1.0.0">
  <systemFields>
    <field name="Objective-Id">
      <value order="0">A40958540</value>
    </field>
    <field name="Objective-Title">
      <value order="0">Doc 7 - Written Statement - (E)</value>
    </field>
    <field name="Objective-Description">
      <value order="0"/>
    </field>
    <field name="Objective-CreationStamp">
      <value order="0">2022-06-10T14:37:01Z</value>
    </field>
    <field name="Objective-IsApproved">
      <value order="0">false</value>
    </field>
    <field name="Objective-IsPublished">
      <value order="0">true</value>
    </field>
    <field name="Objective-DatePublished">
      <value order="0">2022-06-17T14:37:11Z</value>
    </field>
    <field name="Objective-ModificationStamp">
      <value order="0">2022-06-17T14:37:11Z</value>
    </field>
    <field name="Objective-Owner">
      <value order="0">Roche, Jon (EPS - Housing Policy)</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Briefings:2022 - Ministerial Advice and Briefings:Julie James - Minister for Climate Change - Ministerial Advice (MA) - Housing &amp; Regeneration - 2022:MA/JJ/2002/22 - Renting Homes (Wales) Act - Tranche 3 affirmtative SIs</value>
    </field>
    <field name="Objective-Parent">
      <value order="0">MA/JJ/2002/22 - Renting Homes (Wales) Act - Tranche 3 affirmtative SIs</value>
    </field>
    <field name="Objective-State">
      <value order="0">Published</value>
    </field>
    <field name="Objective-VersionId">
      <value order="0">vA78732211</value>
    </field>
    <field name="Objective-Version">
      <value order="0">14.0</value>
    </field>
    <field name="Objective-VersionNumber">
      <value order="0">15</value>
    </field>
    <field name="Objective-VersionComment">
      <value order="0"/>
    </field>
    <field name="Objective-FileNumber">
      <value order="0">qA1503835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9912A-C754-484E-B9BD-E0F306224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FD2D2-E456-4165-BE25-93CAB278EEBA}">
  <ds:schemaRefs>
    <ds:schemaRef ds:uri="http://schemas.microsoft.com/sharepoint/v3/contenttype/forms"/>
  </ds:schemaRefs>
</ds:datastoreItem>
</file>

<file path=customXml/itemProps3.xml><?xml version="1.0" encoding="utf-8"?>
<ds:datastoreItem xmlns:ds="http://schemas.openxmlformats.org/officeDocument/2006/customXml" ds:itemID="{221FFEF2-5C31-4DA0-B613-92372BAFDB27}">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571730F7-1F78-4061-9BDE-6B79EBD4F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2022-06-21T14:05:00Z</dcterms:created>
  <dcterms:modified xsi:type="dcterms:W3CDTF">2022-06-21T14:05:00Z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A40958540</vt:lpwstr>
  </property>
  <property fmtid="{D5CDD505-2E9C-101B-9397-08002B2CF9AE}" pid="4" name="Objective-Title">
    <vt:lpwstr>Doc 7 - Written Statement - (E)</vt:lpwstr>
  </property>
  <property fmtid="{D5CDD505-2E9C-101B-9397-08002B2CF9AE}" pid="5" name="Objective-Comment">
    <vt:lpwstr/>
  </property>
  <property fmtid="{D5CDD505-2E9C-101B-9397-08002B2CF9AE}" pid="6" name="Objective-CreationStamp">
    <vt:filetime>2022-06-10T14:37:57Z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2022-06-17T14:37:11Z</vt:filetime>
  </property>
  <property fmtid="{D5CDD505-2E9C-101B-9397-08002B2CF9AE}" pid="10" name="Objective-ModificationStamp">
    <vt:filetime>2022-06-17T14:37:11Z</vt:filetime>
  </property>
  <property fmtid="{D5CDD505-2E9C-101B-9397-08002B2CF9AE}" pid="11" name="Objective-Owner">
    <vt:lpwstr>Roche, Jon (EPS - Housing Policy)</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Briefings:2022 - Ministerial Advice and Briefings:Julie James - Minister for Climate Change - Ministerial Advice (MA) - Housing &amp; Regeneration - 2022:MA/JJ/2002/22 - Renting Homes (Wales) Act - Tranche 3 affirmtative SIs:</vt:lpwstr>
  </property>
  <property fmtid="{D5CDD505-2E9C-101B-9397-08002B2CF9AE}" pid="13" name="Objective-Parent">
    <vt:lpwstr>MA/JJ/2002/22 - Renting Homes (Wales) Act - Tranche 3 affirmtative SIs</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qA1503835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vA78732211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y fmtid="{D5CDD505-2E9C-101B-9397-08002B2CF9AE}" pid="34" name="SI template version">
    <vt:lpwstr>Version 9.1</vt:lpwstr>
  </property>
  <property fmtid="{D5CDD505-2E9C-101B-9397-08002B2CF9AE}" pid="35" name="LastOSversion">
    <vt:lpwstr>16.0</vt:lpwstr>
  </property>
</Properties>
</file>