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E036" w14:textId="77777777" w:rsidR="001A39E2" w:rsidRDefault="001A39E2" w:rsidP="001A39E2">
      <w:pPr>
        <w:jc w:val="right"/>
        <w:rPr>
          <w:b/>
        </w:rPr>
      </w:pPr>
    </w:p>
    <w:p w14:paraId="193F504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4E4977B" wp14:editId="409415D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E8F8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CF6C93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29344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6B737A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DDE6C5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C159506" wp14:editId="3302AD1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70C4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2765A3E" w14:textId="77777777" w:rsidTr="00B049B1">
        <w:tc>
          <w:tcPr>
            <w:tcW w:w="1383" w:type="dxa"/>
            <w:tcBorders>
              <w:top w:val="nil"/>
              <w:left w:val="nil"/>
              <w:bottom w:val="nil"/>
              <w:right w:val="nil"/>
            </w:tcBorders>
            <w:vAlign w:val="center"/>
          </w:tcPr>
          <w:p w14:paraId="48EE1BD1" w14:textId="77777777" w:rsidR="00EA5290" w:rsidRDefault="00EA5290" w:rsidP="00B049B1">
            <w:pPr>
              <w:spacing w:before="120" w:after="120"/>
              <w:rPr>
                <w:rFonts w:ascii="Arial" w:hAnsi="Arial" w:cs="Arial"/>
                <w:b/>
                <w:bCs/>
                <w:sz w:val="24"/>
                <w:szCs w:val="24"/>
              </w:rPr>
            </w:pPr>
          </w:p>
          <w:p w14:paraId="71AE0A3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CCA283C" w14:textId="77777777" w:rsidR="00EA5290" w:rsidRPr="00670227" w:rsidRDefault="00E11189" w:rsidP="0057543A">
            <w:pPr>
              <w:spacing w:before="120" w:after="120"/>
              <w:rPr>
                <w:rFonts w:ascii="Arial" w:hAnsi="Arial" w:cs="Arial"/>
                <w:b/>
                <w:bCs/>
                <w:sz w:val="24"/>
                <w:szCs w:val="24"/>
              </w:rPr>
            </w:pPr>
            <w:bookmarkStart w:id="0" w:name="_GoBack"/>
            <w:r w:rsidRPr="00E11189">
              <w:rPr>
                <w:rFonts w:ascii="Arial" w:hAnsi="Arial" w:cs="Arial"/>
                <w:b/>
                <w:bCs/>
                <w:sz w:val="24"/>
                <w:szCs w:val="24"/>
              </w:rPr>
              <w:t>The Floods and Water (Amendments etc.) (EU Exit) Regulations 2019</w:t>
            </w:r>
            <w:bookmarkEnd w:id="0"/>
          </w:p>
        </w:tc>
      </w:tr>
      <w:tr w:rsidR="00EA5290" w:rsidRPr="00A011A1" w14:paraId="5716E32F" w14:textId="77777777" w:rsidTr="00B049B1">
        <w:tc>
          <w:tcPr>
            <w:tcW w:w="1383" w:type="dxa"/>
            <w:tcBorders>
              <w:top w:val="nil"/>
              <w:left w:val="nil"/>
              <w:bottom w:val="nil"/>
              <w:right w:val="nil"/>
            </w:tcBorders>
            <w:vAlign w:val="center"/>
          </w:tcPr>
          <w:p w14:paraId="0170CB3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3032BA" w14:textId="77777777" w:rsidR="00EA5290" w:rsidRPr="00670227" w:rsidRDefault="00E11189" w:rsidP="00591AC0">
            <w:pPr>
              <w:spacing w:before="120" w:after="120"/>
              <w:rPr>
                <w:rFonts w:ascii="Arial" w:hAnsi="Arial" w:cs="Arial"/>
                <w:b/>
                <w:bCs/>
                <w:sz w:val="24"/>
                <w:szCs w:val="24"/>
              </w:rPr>
            </w:pPr>
            <w:r>
              <w:rPr>
                <w:rFonts w:ascii="Arial" w:hAnsi="Arial" w:cs="Arial"/>
                <w:b/>
                <w:bCs/>
                <w:sz w:val="24"/>
                <w:szCs w:val="24"/>
              </w:rPr>
              <w:t xml:space="preserve">10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14:paraId="25050D51" w14:textId="77777777" w:rsidTr="00B049B1">
        <w:tc>
          <w:tcPr>
            <w:tcW w:w="1383" w:type="dxa"/>
            <w:tcBorders>
              <w:top w:val="nil"/>
              <w:left w:val="nil"/>
              <w:bottom w:val="nil"/>
              <w:right w:val="nil"/>
            </w:tcBorders>
            <w:vAlign w:val="center"/>
          </w:tcPr>
          <w:p w14:paraId="241670A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BED2DDC"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4DDC9F56" w14:textId="77777777" w:rsidR="00EA5290" w:rsidRPr="00A011A1" w:rsidRDefault="00EA5290" w:rsidP="00EA5290"/>
    <w:p w14:paraId="23D987F3" w14:textId="77777777" w:rsidR="00EA5290" w:rsidRDefault="00EA5290" w:rsidP="00EA5290">
      <w:pPr>
        <w:pStyle w:val="BodyText"/>
        <w:jc w:val="left"/>
        <w:rPr>
          <w:lang w:val="en-US"/>
        </w:rPr>
      </w:pPr>
    </w:p>
    <w:p w14:paraId="6B4149B8" w14:textId="77777777" w:rsidR="00E11189" w:rsidRPr="00E11189" w:rsidRDefault="00E11189" w:rsidP="00E11189">
      <w:pPr>
        <w:spacing w:after="200"/>
        <w:ind w:left="113"/>
        <w:jc w:val="center"/>
        <w:rPr>
          <w:rFonts w:ascii="Arial" w:eastAsiaTheme="minorHAnsi" w:hAnsi="Arial" w:cs="Arial"/>
          <w:b/>
          <w:sz w:val="24"/>
          <w:szCs w:val="22"/>
        </w:rPr>
      </w:pPr>
      <w:r w:rsidRPr="00E11189">
        <w:rPr>
          <w:rFonts w:ascii="Arial" w:eastAsiaTheme="minorHAnsi" w:hAnsi="Arial" w:cs="Arial"/>
          <w:b/>
          <w:sz w:val="24"/>
          <w:szCs w:val="22"/>
        </w:rPr>
        <w:t>The Floods and Water (Amendments etc.) (EU Exit) Regulations 2019</w:t>
      </w:r>
    </w:p>
    <w:p w14:paraId="42B60CE2" w14:textId="77777777" w:rsidR="00E11189" w:rsidRPr="00E11189" w:rsidRDefault="00E11189" w:rsidP="00E11189">
      <w:pPr>
        <w:spacing w:after="200"/>
        <w:ind w:left="113"/>
        <w:rPr>
          <w:rFonts w:ascii="Arial" w:eastAsiaTheme="minorHAnsi" w:hAnsi="Arial" w:cs="Arial"/>
          <w:szCs w:val="22"/>
        </w:rPr>
      </w:pPr>
    </w:p>
    <w:p w14:paraId="5D190973" w14:textId="77777777" w:rsidR="00E11189" w:rsidRPr="00E11189" w:rsidRDefault="00E11189" w:rsidP="00E11189">
      <w:pPr>
        <w:spacing w:after="200"/>
        <w:ind w:left="113"/>
        <w:rPr>
          <w:rFonts w:ascii="Arial" w:eastAsiaTheme="minorHAnsi" w:hAnsi="Arial" w:cs="Arial"/>
          <w:b/>
          <w:szCs w:val="22"/>
        </w:rPr>
      </w:pPr>
      <w:r w:rsidRPr="00E11189">
        <w:rPr>
          <w:rFonts w:ascii="Arial" w:eastAsiaTheme="minorHAnsi" w:hAnsi="Arial" w:cs="Arial"/>
          <w:b/>
          <w:szCs w:val="22"/>
        </w:rPr>
        <w:t>The law which is being amended</w:t>
      </w:r>
    </w:p>
    <w:p w14:paraId="248C6855" w14:textId="77777777" w:rsidR="00E11189" w:rsidRPr="00E11189" w:rsidRDefault="00E11189" w:rsidP="00E11189">
      <w:pPr>
        <w:spacing w:after="200"/>
        <w:ind w:left="113"/>
        <w:rPr>
          <w:rFonts w:ascii="Arial" w:eastAsiaTheme="minorHAnsi" w:hAnsi="Arial" w:cs="Arial"/>
          <w:szCs w:val="22"/>
        </w:rPr>
      </w:pPr>
      <w:r w:rsidRPr="00E11189">
        <w:rPr>
          <w:rFonts w:ascii="Arial" w:eastAsiaTheme="minorHAnsi" w:hAnsi="Arial" w:cs="Arial"/>
          <w:szCs w:val="22"/>
        </w:rPr>
        <w:t>Amends retained EU legislation relating to Water Framework Directive:</w:t>
      </w:r>
    </w:p>
    <w:p w14:paraId="398B3968" w14:textId="77777777" w:rsidR="00E11189" w:rsidRPr="00E11189" w:rsidRDefault="00E11189" w:rsidP="00E11189">
      <w:pPr>
        <w:spacing w:after="200"/>
        <w:ind w:left="113"/>
        <w:rPr>
          <w:rFonts w:ascii="Arial" w:eastAsiaTheme="minorHAnsi" w:hAnsi="Arial" w:cs="Arial"/>
          <w:szCs w:val="22"/>
        </w:rPr>
      </w:pPr>
      <w:r w:rsidRPr="00E11189">
        <w:rPr>
          <w:rFonts w:ascii="Arial" w:eastAsiaTheme="minorHAnsi" w:hAnsi="Arial" w:cs="Arial"/>
          <w:szCs w:val="22"/>
        </w:rPr>
        <w:t>This instrument amends the transposing legislation of key EU water Directives. The main directive is the Water Framework Directive (WFD) 2000/60/EC.</w:t>
      </w:r>
    </w:p>
    <w:p w14:paraId="2D260AEC" w14:textId="77777777" w:rsidR="00E11189" w:rsidRPr="00E11189" w:rsidRDefault="00E11189" w:rsidP="00E11189">
      <w:pPr>
        <w:spacing w:after="200"/>
        <w:ind w:left="113"/>
        <w:rPr>
          <w:rFonts w:ascii="Arial" w:eastAsiaTheme="minorHAnsi" w:hAnsi="Arial" w:cs="Arial"/>
          <w:szCs w:val="22"/>
        </w:rPr>
      </w:pPr>
      <w:r w:rsidRPr="00E11189">
        <w:rPr>
          <w:rFonts w:ascii="Arial" w:eastAsiaTheme="minorHAnsi" w:hAnsi="Arial" w:cs="Arial"/>
          <w:szCs w:val="22"/>
        </w:rPr>
        <w:t xml:space="preserve">It also amends the following EU Implementing decisions; </w:t>
      </w:r>
    </w:p>
    <w:p w14:paraId="277DC5CB" w14:textId="77777777" w:rsidR="00E11189" w:rsidRPr="00E11189" w:rsidRDefault="00E11189" w:rsidP="00E11189">
      <w:pPr>
        <w:tabs>
          <w:tab w:val="left" w:pos="426"/>
        </w:tabs>
        <w:spacing w:after="200" w:line="276" w:lineRule="auto"/>
        <w:ind w:left="113"/>
        <w:contextualSpacing/>
        <w:jc w:val="both"/>
        <w:rPr>
          <w:rFonts w:ascii="Arial" w:eastAsiaTheme="minorHAnsi" w:hAnsi="Arial" w:cs="Arial"/>
          <w:szCs w:val="22"/>
        </w:rPr>
      </w:pPr>
      <w:bookmarkStart w:id="1" w:name="TOCentryTOC18_10_2018_17_31_00_573"/>
      <w:bookmarkEnd w:id="1"/>
      <w:r w:rsidRPr="00E11189">
        <w:rPr>
          <w:rFonts w:ascii="Arial" w:eastAsiaTheme="minorHAnsi" w:hAnsi="Arial" w:cs="Arial"/>
          <w:b/>
          <w:szCs w:val="22"/>
        </w:rPr>
        <w:t>Commission Implementing Decision 2011/321/EU</w:t>
      </w:r>
      <w:r w:rsidRPr="00E11189">
        <w:rPr>
          <w:rFonts w:ascii="Arial" w:eastAsiaTheme="minorHAnsi" w:hAnsi="Arial" w:cs="Arial"/>
          <w:szCs w:val="22"/>
        </w:rPr>
        <w:t xml:space="preserve"> establishing, pursuant to Directive 2006/7/EC of the European Parliament and of the Council, a symbol for information to the public on bathing water classification and any bathing prohibition or advice against bathing. </w:t>
      </w:r>
    </w:p>
    <w:p w14:paraId="1F19D038" w14:textId="77777777" w:rsidR="00E11189" w:rsidRPr="00E11189" w:rsidRDefault="00E11189" w:rsidP="00E11189">
      <w:pPr>
        <w:tabs>
          <w:tab w:val="left" w:pos="426"/>
        </w:tabs>
        <w:spacing w:after="200" w:line="276" w:lineRule="auto"/>
        <w:ind w:left="113" w:hanging="680"/>
        <w:contextualSpacing/>
        <w:jc w:val="both"/>
        <w:rPr>
          <w:rFonts w:ascii="Arial" w:eastAsiaTheme="minorHAnsi" w:hAnsi="Arial" w:cs="Arial"/>
          <w:szCs w:val="22"/>
        </w:rPr>
      </w:pPr>
    </w:p>
    <w:p w14:paraId="3C55B528" w14:textId="77777777" w:rsidR="00E11189" w:rsidRPr="00E11189" w:rsidRDefault="00E11189" w:rsidP="00E11189">
      <w:pPr>
        <w:tabs>
          <w:tab w:val="left" w:pos="426"/>
        </w:tabs>
        <w:spacing w:after="200" w:line="276" w:lineRule="auto"/>
        <w:ind w:left="113"/>
        <w:contextualSpacing/>
        <w:jc w:val="both"/>
        <w:rPr>
          <w:rFonts w:ascii="Arial" w:eastAsiaTheme="minorHAnsi" w:hAnsi="Arial" w:cs="Arial"/>
          <w:szCs w:val="22"/>
        </w:rPr>
      </w:pPr>
      <w:bookmarkStart w:id="2" w:name="TOCentryTOC18_10_2018_17_31_00_575"/>
      <w:bookmarkEnd w:id="2"/>
      <w:r w:rsidRPr="00E11189">
        <w:rPr>
          <w:rFonts w:ascii="Arial" w:eastAsiaTheme="minorHAnsi" w:hAnsi="Arial" w:cs="Arial"/>
          <w:b/>
          <w:szCs w:val="22"/>
        </w:rPr>
        <w:t>Commission Decision (EU) 2017/1583</w:t>
      </w:r>
      <w:r w:rsidRPr="00E11189">
        <w:rPr>
          <w:rFonts w:ascii="Arial" w:eastAsiaTheme="minorHAnsi" w:hAnsi="Arial" w:cs="Arial"/>
          <w:szCs w:val="22"/>
        </w:rPr>
        <w:t xml:space="preserve"> specifying, pursuant to Directive 2006/7/EC of the European Parliament and of the Council, EN ISO 17994:2014 as the standard on the equivalence of microbiological methods</w:t>
      </w:r>
      <w:r w:rsidRPr="00E11189">
        <w:rPr>
          <w:rFonts w:ascii="Arial" w:eastAsiaTheme="minorHAnsi" w:hAnsi="Arial" w:cs="Arial"/>
          <w:szCs w:val="22"/>
        </w:rPr>
        <w:tab/>
      </w:r>
    </w:p>
    <w:p w14:paraId="3F139DF1" w14:textId="77777777" w:rsidR="00E11189" w:rsidRPr="00E11189" w:rsidRDefault="00E11189" w:rsidP="00E11189">
      <w:pPr>
        <w:tabs>
          <w:tab w:val="left" w:pos="426"/>
        </w:tabs>
        <w:spacing w:after="200" w:line="276" w:lineRule="auto"/>
        <w:ind w:left="113" w:hanging="680"/>
        <w:contextualSpacing/>
        <w:jc w:val="both"/>
        <w:rPr>
          <w:rFonts w:ascii="Arial" w:eastAsiaTheme="minorHAnsi" w:hAnsi="Arial" w:cs="Arial"/>
          <w:szCs w:val="22"/>
        </w:rPr>
      </w:pPr>
      <w:r w:rsidRPr="00E11189">
        <w:rPr>
          <w:rFonts w:ascii="Arial" w:eastAsiaTheme="minorHAnsi" w:hAnsi="Arial" w:cs="Arial"/>
          <w:szCs w:val="22"/>
        </w:rPr>
        <w:t xml:space="preserve"> </w:t>
      </w:r>
    </w:p>
    <w:p w14:paraId="6E9EFB4B" w14:textId="77777777" w:rsidR="00E11189" w:rsidRPr="00E11189" w:rsidRDefault="00E11189" w:rsidP="00E11189">
      <w:pPr>
        <w:tabs>
          <w:tab w:val="left" w:pos="426"/>
        </w:tabs>
        <w:spacing w:after="200" w:line="276" w:lineRule="auto"/>
        <w:ind w:left="113"/>
        <w:contextualSpacing/>
        <w:jc w:val="both"/>
        <w:rPr>
          <w:rFonts w:ascii="Arial" w:eastAsiaTheme="minorHAnsi" w:hAnsi="Arial" w:cs="Arial"/>
          <w:szCs w:val="22"/>
        </w:rPr>
      </w:pPr>
      <w:r w:rsidRPr="00E11189">
        <w:rPr>
          <w:rFonts w:ascii="Arial" w:eastAsiaTheme="minorHAnsi" w:hAnsi="Arial" w:cs="Arial"/>
          <w:b/>
          <w:szCs w:val="22"/>
        </w:rPr>
        <w:t>Commission Decision (EU) 2018/229</w:t>
      </w:r>
      <w:r w:rsidRPr="00E11189">
        <w:rPr>
          <w:rFonts w:ascii="Arial" w:eastAsiaTheme="minorHAnsi" w:hAnsi="Arial" w:cs="Arial"/>
          <w:szCs w:val="22"/>
        </w:rPr>
        <w:t xml:space="preserve"> establishing, pursuant to Directive 2000/60/EC of the Parliament and of the Council, the values of the Member State monitoring system classifications as a result of the intercalibration exercise</w:t>
      </w:r>
      <w:r w:rsidRPr="00E11189">
        <w:rPr>
          <w:rFonts w:ascii="Arial" w:eastAsiaTheme="minorHAnsi" w:hAnsi="Arial" w:cs="Arial"/>
          <w:szCs w:val="22"/>
        </w:rPr>
        <w:tab/>
      </w:r>
    </w:p>
    <w:p w14:paraId="641B56CB" w14:textId="77777777" w:rsidR="00E11189" w:rsidRPr="00E11189" w:rsidRDefault="00E11189" w:rsidP="00E11189">
      <w:pPr>
        <w:tabs>
          <w:tab w:val="left" w:pos="426"/>
        </w:tabs>
        <w:spacing w:after="200" w:line="276" w:lineRule="auto"/>
        <w:ind w:left="113"/>
        <w:contextualSpacing/>
        <w:jc w:val="both"/>
        <w:rPr>
          <w:rFonts w:ascii="Arial" w:eastAsiaTheme="minorHAnsi" w:hAnsi="Arial" w:cs="Arial"/>
          <w:b/>
          <w:szCs w:val="22"/>
        </w:rPr>
      </w:pPr>
    </w:p>
    <w:p w14:paraId="07DD8EFA" w14:textId="77777777" w:rsidR="00E11189" w:rsidRPr="00E11189" w:rsidRDefault="00E11189" w:rsidP="00E11189">
      <w:pPr>
        <w:tabs>
          <w:tab w:val="left" w:pos="426"/>
        </w:tabs>
        <w:spacing w:after="200" w:line="276" w:lineRule="auto"/>
        <w:ind w:left="113"/>
        <w:contextualSpacing/>
        <w:jc w:val="both"/>
        <w:rPr>
          <w:rFonts w:ascii="Arial" w:eastAsiaTheme="minorHAnsi" w:hAnsi="Arial" w:cs="Arial"/>
          <w:szCs w:val="22"/>
        </w:rPr>
      </w:pPr>
      <w:r w:rsidRPr="00E11189">
        <w:rPr>
          <w:rFonts w:ascii="Arial" w:eastAsiaTheme="minorHAnsi" w:hAnsi="Arial" w:cs="Arial"/>
          <w:b/>
          <w:szCs w:val="22"/>
        </w:rPr>
        <w:t>Commission Implementing Decision 2018/840/EU</w:t>
      </w:r>
      <w:r w:rsidRPr="00E11189">
        <w:rPr>
          <w:rFonts w:ascii="Arial" w:eastAsiaTheme="minorHAnsi" w:hAnsi="Arial" w:cs="Arial"/>
          <w:szCs w:val="22"/>
        </w:rPr>
        <w:t xml:space="preserve"> establishing a watch list of substances for Union-wide monitoring in the field of water policy pursuant to Directive 2008/105/EC of the European Parliament and of the Council; </w:t>
      </w:r>
    </w:p>
    <w:p w14:paraId="59C2CF81" w14:textId="77777777" w:rsidR="00E11189" w:rsidRPr="00E11189" w:rsidRDefault="00E11189" w:rsidP="00E11189">
      <w:pPr>
        <w:tabs>
          <w:tab w:val="left" w:pos="426"/>
        </w:tabs>
        <w:spacing w:after="200" w:line="276" w:lineRule="auto"/>
        <w:ind w:left="113" w:hanging="680"/>
        <w:contextualSpacing/>
        <w:jc w:val="both"/>
        <w:rPr>
          <w:rFonts w:ascii="Arial" w:eastAsiaTheme="minorHAnsi" w:hAnsi="Arial" w:cs="Arial"/>
          <w:szCs w:val="22"/>
        </w:rPr>
      </w:pPr>
      <w:r w:rsidRPr="00E11189">
        <w:rPr>
          <w:rFonts w:ascii="Arial" w:eastAsiaTheme="minorHAnsi" w:hAnsi="Arial" w:cs="Arial"/>
          <w:szCs w:val="22"/>
        </w:rPr>
        <w:t xml:space="preserve">         </w:t>
      </w:r>
    </w:p>
    <w:p w14:paraId="219F7B08" w14:textId="77777777" w:rsidR="00E11189" w:rsidRPr="00E11189" w:rsidRDefault="00E11189" w:rsidP="00E11189">
      <w:pPr>
        <w:spacing w:after="200" w:line="220" w:lineRule="atLeast"/>
        <w:ind w:left="113"/>
        <w:jc w:val="both"/>
        <w:rPr>
          <w:rFonts w:ascii="Arial" w:hAnsi="Arial" w:cs="Arial"/>
          <w:szCs w:val="22"/>
        </w:rPr>
      </w:pPr>
      <w:r w:rsidRPr="00E11189">
        <w:rPr>
          <w:rFonts w:ascii="Arial" w:hAnsi="Arial" w:cs="Arial"/>
          <w:szCs w:val="22"/>
        </w:rPr>
        <w:t>The following retained direct EU legislation is revoked and any reference to that legislation in Annex 20 to the EEA agreement is to be omitted;</w:t>
      </w:r>
    </w:p>
    <w:p w14:paraId="7E3F9C59" w14:textId="77777777" w:rsidR="00E11189" w:rsidRPr="00E11189" w:rsidRDefault="00E11189" w:rsidP="00E11189">
      <w:pPr>
        <w:spacing w:after="200" w:line="220" w:lineRule="atLeast"/>
        <w:ind w:left="113"/>
        <w:jc w:val="both"/>
        <w:rPr>
          <w:rFonts w:ascii="Arial" w:hAnsi="Arial" w:cs="Arial"/>
          <w:szCs w:val="22"/>
        </w:rPr>
      </w:pPr>
      <w:r w:rsidRPr="00E11189">
        <w:rPr>
          <w:rFonts w:ascii="Arial" w:hAnsi="Arial" w:cs="Arial"/>
          <w:b/>
          <w:szCs w:val="22"/>
        </w:rPr>
        <w:t>Decision No 2455/2001/EC</w:t>
      </w:r>
      <w:r w:rsidRPr="00E11189">
        <w:rPr>
          <w:rFonts w:ascii="Arial" w:hAnsi="Arial" w:cs="Arial"/>
          <w:szCs w:val="22"/>
        </w:rPr>
        <w:t xml:space="preserve"> of the European Parliament and of the Council establishing the list of priority substances in the field of water policy;</w:t>
      </w:r>
    </w:p>
    <w:p w14:paraId="695DF63E" w14:textId="77777777" w:rsidR="00E11189" w:rsidRPr="00E11189" w:rsidRDefault="00E11189" w:rsidP="00E11189">
      <w:pPr>
        <w:spacing w:after="200" w:line="220" w:lineRule="atLeast"/>
        <w:ind w:left="113"/>
        <w:jc w:val="both"/>
        <w:rPr>
          <w:rFonts w:ascii="Arial" w:hAnsi="Arial" w:cs="Arial"/>
          <w:szCs w:val="22"/>
        </w:rPr>
      </w:pPr>
      <w:r w:rsidRPr="00E11189">
        <w:rPr>
          <w:rFonts w:ascii="Arial" w:hAnsi="Arial" w:cs="Arial"/>
          <w:b/>
          <w:szCs w:val="22"/>
        </w:rPr>
        <w:lastRenderedPageBreak/>
        <w:t>Commission Decision 2005/646/EC</w:t>
      </w:r>
      <w:r w:rsidRPr="00E11189">
        <w:rPr>
          <w:rFonts w:ascii="Arial" w:hAnsi="Arial" w:cs="Arial"/>
          <w:szCs w:val="22"/>
        </w:rPr>
        <w:t xml:space="preserve"> on the establishment of a register of sites to form the intercalibration network in accordance with Directive 2000/60/EC of the European Parliament and of the Council;</w:t>
      </w:r>
    </w:p>
    <w:p w14:paraId="54BCA8BA" w14:textId="77777777" w:rsidR="00E11189" w:rsidRPr="00E11189" w:rsidRDefault="00E11189" w:rsidP="00E11189">
      <w:pPr>
        <w:spacing w:after="200" w:line="220" w:lineRule="atLeast"/>
        <w:ind w:left="113"/>
        <w:jc w:val="both"/>
        <w:rPr>
          <w:rFonts w:ascii="Arial" w:hAnsi="Arial" w:cs="Arial"/>
          <w:szCs w:val="22"/>
        </w:rPr>
      </w:pPr>
      <w:r w:rsidRPr="00E11189">
        <w:rPr>
          <w:rFonts w:ascii="Arial" w:hAnsi="Arial" w:cs="Arial"/>
          <w:b/>
          <w:szCs w:val="22"/>
        </w:rPr>
        <w:t>Commission Implementing Decision 2014/431/EU</w:t>
      </w:r>
      <w:r w:rsidRPr="00E11189">
        <w:rPr>
          <w:rFonts w:ascii="Arial" w:hAnsi="Arial" w:cs="Arial"/>
          <w:szCs w:val="22"/>
        </w:rPr>
        <w:t xml:space="preserve"> concerning formats for reporting on the national programmes for the implementation of Council Directive 91/271/EEC.</w:t>
      </w:r>
    </w:p>
    <w:p w14:paraId="64A1B93E" w14:textId="77777777" w:rsidR="00E11189" w:rsidRPr="00E11189" w:rsidRDefault="00E11189" w:rsidP="00E11189">
      <w:pPr>
        <w:spacing w:after="200" w:line="220" w:lineRule="atLeast"/>
        <w:jc w:val="both"/>
        <w:rPr>
          <w:rFonts w:ascii="Arial" w:hAnsi="Arial" w:cs="Arial"/>
          <w:szCs w:val="22"/>
        </w:rPr>
      </w:pPr>
      <w:r w:rsidRPr="00E11189">
        <w:rPr>
          <w:rFonts w:ascii="Arial" w:hAnsi="Arial" w:cs="Arial"/>
          <w:szCs w:val="22"/>
        </w:rPr>
        <w:t xml:space="preserve">The SI also amends the following domestic legislation; </w:t>
      </w:r>
    </w:p>
    <w:p w14:paraId="2B4C58EA" w14:textId="77777777" w:rsidR="00E11189" w:rsidRPr="00E11189" w:rsidRDefault="00E11189" w:rsidP="00E11189">
      <w:pPr>
        <w:keepNext/>
        <w:tabs>
          <w:tab w:val="right" w:pos="7938"/>
        </w:tabs>
        <w:spacing w:after="40" w:line="220" w:lineRule="atLeast"/>
        <w:rPr>
          <w:rFonts w:ascii="Arial" w:hAnsi="Arial" w:cs="Arial"/>
          <w:noProof/>
          <w:szCs w:val="22"/>
          <w:u w:val="single"/>
        </w:rPr>
      </w:pPr>
      <w:r w:rsidRPr="00E11189">
        <w:rPr>
          <w:rFonts w:ascii="Arial" w:hAnsi="Arial" w:cs="Arial"/>
          <w:noProof/>
          <w:szCs w:val="22"/>
          <w:u w:val="single"/>
        </w:rPr>
        <w:t>Primary legislation</w:t>
      </w:r>
      <w:bookmarkStart w:id="3" w:name="TOCentryTOC09_11_2018_16_48_20_30"/>
      <w:bookmarkEnd w:id="3"/>
    </w:p>
    <w:p w14:paraId="2AFBD73C" w14:textId="77777777" w:rsidR="00E11189" w:rsidRPr="00E11189" w:rsidRDefault="00E11189" w:rsidP="00E11189">
      <w:pPr>
        <w:keepLines/>
        <w:tabs>
          <w:tab w:val="left" w:pos="576"/>
          <w:tab w:val="right" w:pos="8280"/>
        </w:tabs>
        <w:spacing w:after="40"/>
        <w:ind w:right="720"/>
        <w:jc w:val="both"/>
        <w:rPr>
          <w:rFonts w:ascii="Arial" w:hAnsi="Arial" w:cs="Arial"/>
          <w:noProof/>
          <w:szCs w:val="22"/>
        </w:rPr>
      </w:pPr>
    </w:p>
    <w:p w14:paraId="1A7CE48D" w14:textId="77777777" w:rsidR="00E11189" w:rsidRPr="00E11189" w:rsidRDefault="00E11189" w:rsidP="00E11189">
      <w:pPr>
        <w:keepLines/>
        <w:tabs>
          <w:tab w:val="left" w:pos="576"/>
          <w:tab w:val="right" w:pos="8280"/>
        </w:tabs>
        <w:spacing w:after="40"/>
        <w:ind w:right="720"/>
        <w:jc w:val="both"/>
        <w:rPr>
          <w:rFonts w:ascii="Arial" w:hAnsi="Arial" w:cs="Arial"/>
          <w:szCs w:val="22"/>
        </w:rPr>
      </w:pPr>
      <w:r w:rsidRPr="00E11189">
        <w:rPr>
          <w:rFonts w:ascii="Arial" w:hAnsi="Arial" w:cs="Arial"/>
          <w:szCs w:val="22"/>
        </w:rPr>
        <w:t>Water Act 1989</w:t>
      </w:r>
      <w:bookmarkStart w:id="4" w:name="TOCentryTOC09_11_2018_16_48_20_31"/>
      <w:bookmarkEnd w:id="4"/>
      <w:r w:rsidRPr="00E11189">
        <w:rPr>
          <w:rFonts w:ascii="Arial" w:hAnsi="Arial" w:cs="Arial"/>
          <w:szCs w:val="22"/>
        </w:rPr>
        <w:tab/>
      </w:r>
    </w:p>
    <w:p w14:paraId="4458C133" w14:textId="77777777" w:rsidR="00E11189" w:rsidRPr="00E11189" w:rsidRDefault="00E11189" w:rsidP="00E11189">
      <w:pPr>
        <w:keepLines/>
        <w:tabs>
          <w:tab w:val="left" w:pos="576"/>
          <w:tab w:val="right" w:pos="8280"/>
        </w:tabs>
        <w:spacing w:after="40"/>
        <w:ind w:left="576" w:right="720" w:hanging="576"/>
        <w:jc w:val="both"/>
        <w:rPr>
          <w:rFonts w:ascii="Arial" w:hAnsi="Arial" w:cs="Arial"/>
          <w:szCs w:val="22"/>
        </w:rPr>
      </w:pPr>
      <w:r w:rsidRPr="00E11189">
        <w:rPr>
          <w:rFonts w:ascii="Arial" w:hAnsi="Arial" w:cs="Arial"/>
          <w:szCs w:val="22"/>
        </w:rPr>
        <w:t>Water Industry Act 1991</w:t>
      </w:r>
      <w:bookmarkStart w:id="5" w:name="TOCentryTOC09_11_2018_16_48_20_33"/>
      <w:bookmarkEnd w:id="5"/>
      <w:r w:rsidRPr="00E11189">
        <w:rPr>
          <w:rFonts w:ascii="Arial" w:hAnsi="Arial" w:cs="Arial"/>
          <w:szCs w:val="22"/>
        </w:rPr>
        <w:tab/>
      </w:r>
    </w:p>
    <w:p w14:paraId="1BF8A26A" w14:textId="77777777" w:rsidR="00E11189" w:rsidRPr="00E11189" w:rsidRDefault="00E11189" w:rsidP="00E11189">
      <w:pPr>
        <w:keepLines/>
        <w:tabs>
          <w:tab w:val="left" w:pos="576"/>
          <w:tab w:val="right" w:pos="8280"/>
        </w:tabs>
        <w:spacing w:after="40"/>
        <w:ind w:left="576" w:right="720" w:hanging="576"/>
        <w:jc w:val="both"/>
        <w:rPr>
          <w:rFonts w:ascii="Arial" w:hAnsi="Arial" w:cs="Arial"/>
          <w:szCs w:val="22"/>
        </w:rPr>
      </w:pPr>
      <w:r w:rsidRPr="00E11189">
        <w:rPr>
          <w:rFonts w:ascii="Arial" w:hAnsi="Arial" w:cs="Arial"/>
          <w:szCs w:val="22"/>
        </w:rPr>
        <w:t>Water Resources Act 1991</w:t>
      </w:r>
      <w:bookmarkStart w:id="6" w:name="TOCentryTOC09_11_2018_16_48_20_46"/>
      <w:bookmarkEnd w:id="6"/>
      <w:r w:rsidRPr="00E11189">
        <w:rPr>
          <w:rFonts w:ascii="Arial" w:hAnsi="Arial" w:cs="Arial"/>
          <w:szCs w:val="22"/>
        </w:rPr>
        <w:tab/>
      </w:r>
    </w:p>
    <w:p w14:paraId="2C7B6AAA" w14:textId="77777777" w:rsidR="00E11189" w:rsidRPr="00E11189" w:rsidRDefault="00E11189" w:rsidP="00E11189">
      <w:pPr>
        <w:spacing w:after="200" w:line="220" w:lineRule="atLeast"/>
        <w:jc w:val="both"/>
        <w:rPr>
          <w:rFonts w:ascii="Arial" w:hAnsi="Arial" w:cs="Arial"/>
          <w:szCs w:val="22"/>
        </w:rPr>
      </w:pPr>
      <w:r w:rsidRPr="00E11189">
        <w:rPr>
          <w:rFonts w:ascii="Arial" w:eastAsiaTheme="minorHAnsi" w:hAnsi="Arial" w:cs="Arial"/>
          <w:szCs w:val="22"/>
        </w:rPr>
        <w:t>Water Act 2014</w:t>
      </w:r>
    </w:p>
    <w:p w14:paraId="15B7D167" w14:textId="77777777" w:rsidR="00E11189" w:rsidRPr="00E11189" w:rsidRDefault="00E11189" w:rsidP="00E11189">
      <w:pPr>
        <w:spacing w:after="200" w:line="220" w:lineRule="atLeast"/>
        <w:jc w:val="both"/>
        <w:rPr>
          <w:rFonts w:ascii="Arial" w:hAnsi="Arial" w:cs="Arial"/>
          <w:szCs w:val="22"/>
          <w:u w:val="single"/>
        </w:rPr>
      </w:pPr>
      <w:r w:rsidRPr="00E11189">
        <w:rPr>
          <w:rFonts w:ascii="Arial" w:hAnsi="Arial" w:cs="Arial"/>
          <w:szCs w:val="22"/>
          <w:u w:val="single"/>
        </w:rPr>
        <w:t>Secondary Legislation</w:t>
      </w:r>
    </w:p>
    <w:p w14:paraId="47E9277F" w14:textId="77777777" w:rsidR="00E11189" w:rsidRPr="00E11189" w:rsidRDefault="00E11189" w:rsidP="00E11189">
      <w:pPr>
        <w:spacing w:after="200" w:line="220" w:lineRule="atLeast"/>
        <w:jc w:val="both"/>
        <w:rPr>
          <w:rFonts w:ascii="Arial" w:hAnsi="Arial" w:cs="Arial"/>
          <w:szCs w:val="22"/>
        </w:rPr>
      </w:pPr>
      <w:r w:rsidRPr="00E11189">
        <w:rPr>
          <w:rFonts w:ascii="Arial" w:hAnsi="Arial" w:cs="Arial"/>
          <w:szCs w:val="22"/>
        </w:rPr>
        <w:t>The Sludge (Use in Agriculture) Regulations 1989</w:t>
      </w:r>
      <w:bookmarkStart w:id="7" w:name="TOCentryTOC18_10_2018_17_31_00_81"/>
      <w:bookmarkEnd w:id="7"/>
      <w:r w:rsidRPr="00E11189">
        <w:rPr>
          <w:rFonts w:ascii="Arial" w:hAnsi="Arial" w:cs="Arial"/>
          <w:szCs w:val="22"/>
        </w:rPr>
        <w:t xml:space="preserve"> </w:t>
      </w:r>
    </w:p>
    <w:p w14:paraId="569D0D20"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Urban Waste Water Treatment (England and Wales) Regulations 1994</w:t>
      </w:r>
      <w:bookmarkStart w:id="8" w:name="TOCentryTOC18_10_2018_17_31_00_89"/>
      <w:bookmarkEnd w:id="8"/>
    </w:p>
    <w:p w14:paraId="620D643B"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Water Supply (Water Fittings) Regulations 1999</w:t>
      </w:r>
      <w:bookmarkStart w:id="9" w:name="TOCentryTOC18_10_2018_17_31_00_117"/>
      <w:bookmarkEnd w:id="9"/>
      <w:r w:rsidRPr="00E11189">
        <w:rPr>
          <w:rFonts w:ascii="Arial" w:hAnsi="Arial" w:cs="Arial"/>
          <w:szCs w:val="22"/>
        </w:rPr>
        <w:tab/>
      </w:r>
    </w:p>
    <w:p w14:paraId="36CB22F2"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Drinking Water (Undertakings) (England and Wales) Regulations 2000</w:t>
      </w:r>
      <w:bookmarkStart w:id="10" w:name="TOCentryTOC18_10_2018_17_31_00_126"/>
      <w:bookmarkEnd w:id="10"/>
      <w:r w:rsidRPr="00E11189">
        <w:rPr>
          <w:rFonts w:ascii="Arial" w:hAnsi="Arial" w:cs="Arial"/>
          <w:szCs w:val="22"/>
        </w:rPr>
        <w:tab/>
      </w:r>
    </w:p>
    <w:p w14:paraId="2A086CE4"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Water Environment (Water Framework Directive) (Northumbria River Basin District) Regulations 2003</w:t>
      </w:r>
      <w:bookmarkStart w:id="11" w:name="TOCentryTOC18_10_2018_17_31_00_128"/>
      <w:bookmarkEnd w:id="11"/>
    </w:p>
    <w:p w14:paraId="20462B8A"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Water Environment (Water Framework Directive) (Solway Tweed River Basin District) Regulations 2004</w:t>
      </w:r>
      <w:bookmarkStart w:id="12" w:name="TOCentryTOC18_10_2018_17_31_00_141"/>
      <w:bookmarkEnd w:id="12"/>
      <w:r w:rsidRPr="00E11189">
        <w:rPr>
          <w:rFonts w:ascii="Arial" w:hAnsi="Arial" w:cs="Arial"/>
          <w:szCs w:val="22"/>
        </w:rPr>
        <w:tab/>
      </w:r>
    </w:p>
    <w:p w14:paraId="3F011643"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Water Industry (Special Administration) Rules 2009</w:t>
      </w:r>
      <w:bookmarkStart w:id="13" w:name="TOCentryTOC18_10_2018_17_31_00_273"/>
      <w:bookmarkEnd w:id="13"/>
      <w:r w:rsidRPr="00E11189">
        <w:rPr>
          <w:rFonts w:ascii="Arial" w:hAnsi="Arial" w:cs="Arial"/>
          <w:szCs w:val="22"/>
        </w:rPr>
        <w:tab/>
      </w:r>
    </w:p>
    <w:p w14:paraId="27BFECF8"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Water Resources (Control of Pollution) (Silage, Slurry and Agricultural Fuel Oil) (England) Regulations 2010</w:t>
      </w:r>
      <w:bookmarkStart w:id="14" w:name="TOCentryTOC18_10_2018_17_31_00_275"/>
      <w:bookmarkEnd w:id="14"/>
      <w:r w:rsidRPr="00E11189">
        <w:rPr>
          <w:rFonts w:ascii="Arial" w:hAnsi="Arial" w:cs="Arial"/>
          <w:szCs w:val="22"/>
        </w:rPr>
        <w:tab/>
      </w:r>
    </w:p>
    <w:p w14:paraId="08F2BDC3"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Incidental Flooding and Coastal Erosion (England) Order 2011</w:t>
      </w:r>
      <w:bookmarkStart w:id="15" w:name="TOCentryTOC18_10_2018_17_31_00_277"/>
      <w:bookmarkEnd w:id="15"/>
      <w:r w:rsidRPr="00E11189">
        <w:rPr>
          <w:rFonts w:ascii="Arial" w:hAnsi="Arial" w:cs="Arial"/>
          <w:szCs w:val="22"/>
        </w:rPr>
        <w:tab/>
      </w:r>
      <w:r w:rsidRPr="00E11189">
        <w:rPr>
          <w:rFonts w:ascii="Arial" w:hAnsi="Arial" w:cs="Arial"/>
          <w:szCs w:val="22"/>
        </w:rPr>
        <w:fldChar w:fldCharType="begin"/>
      </w:r>
      <w:r w:rsidRPr="00E11189">
        <w:rPr>
          <w:rFonts w:ascii="Arial" w:hAnsi="Arial" w:cs="Arial"/>
          <w:szCs w:val="22"/>
        </w:rPr>
        <w:instrText xml:space="preserve"> PAGEREF TOC18_10_2018_17_31_00_277 \h </w:instrText>
      </w:r>
      <w:r w:rsidRPr="00E11189">
        <w:rPr>
          <w:rFonts w:ascii="Arial" w:hAnsi="Arial" w:cs="Arial"/>
          <w:szCs w:val="22"/>
        </w:rPr>
      </w:r>
      <w:r w:rsidRPr="00E11189">
        <w:rPr>
          <w:rFonts w:ascii="Arial" w:hAnsi="Arial" w:cs="Arial"/>
          <w:szCs w:val="22"/>
        </w:rPr>
        <w:fldChar w:fldCharType="end"/>
      </w:r>
    </w:p>
    <w:p w14:paraId="6366A93F"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Bathing Water Regulations 2013</w:t>
      </w:r>
      <w:bookmarkStart w:id="16" w:name="TOCentryTOC18_10_2018_17_31_00_287"/>
      <w:bookmarkEnd w:id="16"/>
      <w:r w:rsidRPr="00E11189">
        <w:rPr>
          <w:rFonts w:ascii="Arial" w:hAnsi="Arial" w:cs="Arial"/>
          <w:szCs w:val="22"/>
        </w:rPr>
        <w:tab/>
      </w:r>
    </w:p>
    <w:p w14:paraId="7477B3B2"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Nitrate Pollution Prevention Regulations 2015</w:t>
      </w:r>
      <w:bookmarkStart w:id="17" w:name="TOCentryTOC18_10_2018_17_31_00_325"/>
      <w:bookmarkEnd w:id="17"/>
      <w:r w:rsidRPr="00E11189">
        <w:rPr>
          <w:rFonts w:ascii="Arial" w:hAnsi="Arial" w:cs="Arial"/>
          <w:szCs w:val="22"/>
        </w:rPr>
        <w:tab/>
      </w:r>
    </w:p>
    <w:p w14:paraId="2F359D64"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Flood Reinsurance (Scheme Funding and Administration) Regulations 2015</w:t>
      </w:r>
      <w:bookmarkStart w:id="18" w:name="TOCentryTOC18_10_2018_17_31_00_362"/>
      <w:bookmarkEnd w:id="18"/>
      <w:r w:rsidRPr="00E11189">
        <w:rPr>
          <w:rFonts w:ascii="Arial" w:hAnsi="Arial" w:cs="Arial"/>
          <w:szCs w:val="22"/>
        </w:rPr>
        <w:tab/>
      </w:r>
    </w:p>
    <w:p w14:paraId="36E3C432"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Water Supply (Water Quality) Regulations 2016</w:t>
      </w:r>
      <w:bookmarkStart w:id="19" w:name="TOCentryTOC18_10_2018_17_31_00_364"/>
      <w:bookmarkEnd w:id="19"/>
      <w:r w:rsidRPr="00E11189">
        <w:rPr>
          <w:rFonts w:ascii="Arial" w:hAnsi="Arial" w:cs="Arial"/>
          <w:szCs w:val="22"/>
        </w:rPr>
        <w:tab/>
      </w:r>
    </w:p>
    <w:p w14:paraId="5AEA74D9"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Private Water Supplies (England) Regulations 2016</w:t>
      </w:r>
      <w:bookmarkStart w:id="20" w:name="TOCentryTOC18_10_2018_17_31_00_394"/>
      <w:bookmarkEnd w:id="20"/>
      <w:r w:rsidRPr="00E11189">
        <w:rPr>
          <w:rFonts w:ascii="Arial" w:hAnsi="Arial" w:cs="Arial"/>
          <w:szCs w:val="22"/>
        </w:rPr>
        <w:tab/>
      </w:r>
    </w:p>
    <w:p w14:paraId="6F919BFF"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Water Environment (Water Framework Directive) (England and Wales) Regulations 2017</w:t>
      </w:r>
      <w:bookmarkStart w:id="21" w:name="TOCentryTOC18_10_2018_17_31_00_414"/>
      <w:bookmarkEnd w:id="21"/>
      <w:r w:rsidRPr="00E11189">
        <w:rPr>
          <w:rFonts w:ascii="Arial" w:hAnsi="Arial" w:cs="Arial"/>
          <w:szCs w:val="22"/>
        </w:rPr>
        <w:tab/>
      </w:r>
    </w:p>
    <w:p w14:paraId="401A6672" w14:textId="77777777" w:rsidR="00E11189" w:rsidRPr="00E11189" w:rsidRDefault="00E11189" w:rsidP="00E11189">
      <w:pPr>
        <w:keepLines/>
        <w:tabs>
          <w:tab w:val="left" w:pos="576"/>
          <w:tab w:val="right" w:pos="8280"/>
        </w:tabs>
        <w:spacing w:after="200"/>
        <w:jc w:val="both"/>
        <w:rPr>
          <w:rFonts w:ascii="Arial" w:hAnsi="Arial" w:cs="Arial"/>
          <w:szCs w:val="22"/>
        </w:rPr>
      </w:pPr>
      <w:r w:rsidRPr="00E11189">
        <w:rPr>
          <w:rFonts w:ascii="Arial" w:hAnsi="Arial" w:cs="Arial"/>
          <w:szCs w:val="22"/>
        </w:rPr>
        <w:t>The Water Abstraction and Impounding (Exemptions) Regulations 2017</w:t>
      </w:r>
      <w:bookmarkStart w:id="22" w:name="TOCentryTOC18_10_2018_17_31_00_547"/>
      <w:bookmarkEnd w:id="22"/>
      <w:r w:rsidRPr="00E11189">
        <w:rPr>
          <w:rFonts w:ascii="Arial" w:hAnsi="Arial" w:cs="Arial"/>
          <w:szCs w:val="22"/>
        </w:rPr>
        <w:tab/>
      </w:r>
    </w:p>
    <w:p w14:paraId="4FD8F0F7" w14:textId="77777777" w:rsidR="00E11189" w:rsidRPr="00E11189" w:rsidRDefault="00E11189" w:rsidP="00E11189">
      <w:pPr>
        <w:spacing w:after="200" w:line="276" w:lineRule="auto"/>
        <w:rPr>
          <w:rFonts w:ascii="Arial" w:eastAsiaTheme="minorHAnsi" w:hAnsi="Arial" w:cs="Arial"/>
          <w:szCs w:val="22"/>
        </w:rPr>
      </w:pPr>
      <w:r w:rsidRPr="00E11189">
        <w:rPr>
          <w:rFonts w:ascii="Arial" w:eastAsiaTheme="minorHAnsi" w:hAnsi="Arial" w:cs="Arial"/>
          <w:szCs w:val="22"/>
        </w:rPr>
        <w:t>The Water Abstraction (Transitional Provisions) Regulations 2017</w:t>
      </w:r>
    </w:p>
    <w:p w14:paraId="50A10D7E" w14:textId="77777777" w:rsidR="00E11189" w:rsidRPr="00E11189" w:rsidRDefault="00E11189" w:rsidP="00E11189">
      <w:pPr>
        <w:ind w:hanging="9"/>
        <w:outlineLvl w:val="1"/>
        <w:rPr>
          <w:rFonts w:ascii="Arial" w:hAnsi="Arial" w:cs="Arial"/>
          <w:szCs w:val="22"/>
        </w:rPr>
      </w:pPr>
    </w:p>
    <w:p w14:paraId="4D8F8BD7" w14:textId="77777777" w:rsidR="00E11189" w:rsidRPr="00E11189" w:rsidRDefault="00E11189" w:rsidP="0014074F">
      <w:pPr>
        <w:spacing w:after="200"/>
        <w:outlineLvl w:val="1"/>
        <w:rPr>
          <w:rFonts w:ascii="Arial" w:hAnsi="Arial" w:cs="Arial"/>
          <w:b/>
          <w:szCs w:val="22"/>
        </w:rPr>
      </w:pPr>
      <w:r w:rsidRPr="00E11189">
        <w:rPr>
          <w:rFonts w:ascii="Arial" w:hAnsi="Arial" w:cs="Arial"/>
          <w:b/>
          <w:szCs w:val="22"/>
        </w:rPr>
        <w:t>Any impact the SI may have on the Assembly’s legislative competence and/or the Welsh Ministers’ executive competence</w:t>
      </w:r>
    </w:p>
    <w:p w14:paraId="16F4949E" w14:textId="77777777" w:rsidR="00E11189" w:rsidRPr="00E11189" w:rsidRDefault="00E11189" w:rsidP="0014074F">
      <w:pPr>
        <w:spacing w:after="200"/>
        <w:jc w:val="both"/>
        <w:rPr>
          <w:rFonts w:ascii="Arial" w:eastAsiaTheme="minorHAnsi" w:hAnsi="Arial" w:cs="Arial"/>
          <w:szCs w:val="22"/>
        </w:rPr>
      </w:pPr>
      <w:r w:rsidRPr="00E11189">
        <w:rPr>
          <w:rFonts w:ascii="Arial" w:eastAsiaTheme="minorHAnsi" w:hAnsi="Arial" w:cs="Arial"/>
          <w:szCs w:val="22"/>
        </w:rPr>
        <w:lastRenderedPageBreak/>
        <w:t xml:space="preserve">The National Assembly for Wales and Welsh Ministers have legislative and executive competence respectively in relation to flood and water; the Assembly’s competence in relation to water is </w:t>
      </w:r>
      <w:r w:rsidR="0014074F">
        <w:rPr>
          <w:rFonts w:ascii="Arial" w:eastAsiaTheme="minorHAnsi" w:hAnsi="Arial" w:cs="Arial"/>
          <w:szCs w:val="22"/>
        </w:rPr>
        <w:t xml:space="preserve">subject </w:t>
      </w:r>
      <w:r w:rsidRPr="00E11189">
        <w:rPr>
          <w:rFonts w:ascii="Arial" w:eastAsiaTheme="minorHAnsi" w:hAnsi="Arial" w:cs="Arial"/>
          <w:szCs w:val="22"/>
        </w:rPr>
        <w:t xml:space="preserve">to the specific reservations in Section C15 of Schedule 7A to GoWA.  </w:t>
      </w:r>
    </w:p>
    <w:p w14:paraId="3FF63F40" w14:textId="77777777" w:rsidR="00E11189" w:rsidRPr="00E11189" w:rsidRDefault="00E11189" w:rsidP="0014074F">
      <w:pPr>
        <w:spacing w:after="200"/>
        <w:jc w:val="both"/>
        <w:rPr>
          <w:rFonts w:ascii="Arial" w:eastAsiaTheme="minorHAnsi" w:hAnsi="Arial" w:cs="Arial"/>
          <w:szCs w:val="22"/>
        </w:rPr>
      </w:pPr>
      <w:r w:rsidRPr="00E11189">
        <w:rPr>
          <w:rFonts w:ascii="Arial" w:eastAsiaTheme="minorHAnsi" w:hAnsi="Arial" w:cs="Arial"/>
          <w:szCs w:val="22"/>
        </w:rPr>
        <w:t>Whilst this SI includes amendments to composite SIs, due to the exceptional circumstances</w:t>
      </w:r>
      <w:r w:rsidRPr="00E11189" w:rsidDel="00D964E2">
        <w:rPr>
          <w:rFonts w:ascii="Arial" w:eastAsiaTheme="minorHAnsi" w:hAnsi="Arial" w:cs="Arial"/>
          <w:szCs w:val="22"/>
        </w:rPr>
        <w:t xml:space="preserve"> </w:t>
      </w:r>
      <w:r w:rsidRPr="00E11189">
        <w:rPr>
          <w:rFonts w:ascii="Arial" w:eastAsiaTheme="minorHAnsi" w:hAnsi="Arial" w:cs="Arial"/>
          <w:szCs w:val="22"/>
        </w:rPr>
        <w:t>of EU exit, on this sole occasion, it has been agreed to make the relevant amendments in a UK SI.</w:t>
      </w:r>
    </w:p>
    <w:p w14:paraId="64E54986" w14:textId="77777777" w:rsidR="00E11189" w:rsidRPr="00E11189" w:rsidRDefault="00E11189" w:rsidP="0014074F">
      <w:pPr>
        <w:spacing w:after="200"/>
        <w:rPr>
          <w:rFonts w:ascii="Arial" w:eastAsiaTheme="minorHAnsi" w:hAnsi="Arial" w:cs="Arial"/>
          <w:b/>
          <w:szCs w:val="22"/>
        </w:rPr>
      </w:pPr>
      <w:r w:rsidRPr="00E11189">
        <w:rPr>
          <w:rFonts w:ascii="Arial" w:eastAsiaTheme="minorHAnsi" w:hAnsi="Arial" w:cs="Arial"/>
          <w:b/>
          <w:szCs w:val="22"/>
        </w:rPr>
        <w:t xml:space="preserve">The purpose of the amendments </w:t>
      </w:r>
    </w:p>
    <w:p w14:paraId="4B427A43" w14:textId="77777777" w:rsidR="00E11189" w:rsidRPr="00E11189" w:rsidRDefault="00E11189" w:rsidP="0014074F">
      <w:pPr>
        <w:outlineLvl w:val="1"/>
        <w:rPr>
          <w:rFonts w:ascii="Arial" w:hAnsi="Arial" w:cs="Arial"/>
          <w:szCs w:val="22"/>
        </w:rPr>
      </w:pPr>
      <w:r w:rsidRPr="00E11189">
        <w:rPr>
          <w:rFonts w:ascii="Arial" w:hAnsi="Arial" w:cs="Arial"/>
          <w:szCs w:val="22"/>
        </w:rPr>
        <w:t xml:space="preserve">The purpose of this SI (affirmative procedure) is to address the failures of retained EU law to operate effectively and other deficiencies arising from the withdrawal of the UK from the EU on the basis of a no-deal scenario. </w:t>
      </w:r>
    </w:p>
    <w:p w14:paraId="50593B59" w14:textId="77777777" w:rsidR="00E11189" w:rsidRPr="00E11189" w:rsidRDefault="00E11189" w:rsidP="00E11189">
      <w:pPr>
        <w:ind w:left="120"/>
        <w:outlineLvl w:val="1"/>
        <w:rPr>
          <w:rFonts w:ascii="Arial" w:hAnsi="Arial" w:cs="Arial"/>
          <w:szCs w:val="22"/>
        </w:rPr>
      </w:pPr>
    </w:p>
    <w:p w14:paraId="0A46AB77" w14:textId="77777777" w:rsidR="00E11189" w:rsidRPr="00E11189" w:rsidRDefault="00E11189" w:rsidP="0014074F">
      <w:pPr>
        <w:outlineLvl w:val="1"/>
        <w:rPr>
          <w:rFonts w:ascii="Arial" w:hAnsi="Arial" w:cs="Arial"/>
          <w:szCs w:val="22"/>
        </w:rPr>
      </w:pPr>
      <w:r w:rsidRPr="00E11189">
        <w:rPr>
          <w:rFonts w:ascii="Arial" w:hAnsi="Arial" w:cs="Arial"/>
          <w:szCs w:val="22"/>
        </w:rPr>
        <w:t>The function of the EU law in this area is to protect and improve the water environment from various sources of pollution e.g. from agriculture and urban sources; it is also about protecting human health by preventing contamination of drinking water and bathing waters.</w:t>
      </w:r>
    </w:p>
    <w:p w14:paraId="542C9772" w14:textId="77777777" w:rsidR="00E11189" w:rsidRPr="00E11189" w:rsidRDefault="00E11189" w:rsidP="0014074F">
      <w:pPr>
        <w:outlineLvl w:val="1"/>
        <w:rPr>
          <w:rFonts w:ascii="Arial" w:hAnsi="Arial" w:cs="Arial"/>
          <w:szCs w:val="22"/>
        </w:rPr>
      </w:pPr>
    </w:p>
    <w:p w14:paraId="4DBAD87D" w14:textId="77777777" w:rsidR="0014074F" w:rsidRDefault="00E11189" w:rsidP="0014074F">
      <w:pPr>
        <w:spacing w:after="200"/>
        <w:jc w:val="both"/>
        <w:rPr>
          <w:rFonts w:ascii="Arial" w:eastAsiaTheme="minorHAnsi" w:hAnsi="Arial" w:cs="Arial"/>
          <w:color w:val="0000FF" w:themeColor="hyperlink"/>
          <w:szCs w:val="22"/>
          <w:u w:val="single"/>
        </w:rPr>
      </w:pPr>
      <w:r w:rsidRPr="00E11189">
        <w:rPr>
          <w:rFonts w:ascii="Arial" w:eastAsiaTheme="minorHAnsi" w:hAnsi="Arial" w:cs="Arial"/>
          <w:szCs w:val="22"/>
        </w:rPr>
        <w:t xml:space="preserve">The SIs and accompanying Explanatory Memorandums, setting out the effect of each amendment is available here: </w:t>
      </w:r>
      <w:hyperlink r:id="rId8" w:history="1">
        <w:r w:rsidRPr="00E11189">
          <w:rPr>
            <w:rFonts w:ascii="Arial" w:eastAsiaTheme="minorHAnsi" w:hAnsi="Arial" w:cs="Arial"/>
            <w:color w:val="0000FF" w:themeColor="hyperlink"/>
            <w:szCs w:val="22"/>
            <w:u w:val="single"/>
          </w:rPr>
          <w:t>https://www.gov.uk/eu-withdrawal-act-2018-statutory-instruments</w:t>
        </w:r>
      </w:hyperlink>
    </w:p>
    <w:p w14:paraId="141018B7" w14:textId="77777777" w:rsidR="00E11189" w:rsidRPr="00E11189" w:rsidRDefault="00E11189" w:rsidP="0014074F">
      <w:pPr>
        <w:spacing w:after="200"/>
        <w:jc w:val="both"/>
        <w:rPr>
          <w:rFonts w:ascii="Arial" w:eastAsiaTheme="minorHAnsi" w:hAnsi="Arial" w:cs="Arial"/>
          <w:color w:val="0000FF" w:themeColor="hyperlink"/>
          <w:szCs w:val="22"/>
          <w:u w:val="single"/>
        </w:rPr>
      </w:pPr>
      <w:r w:rsidRPr="00E11189">
        <w:rPr>
          <w:rFonts w:ascii="Arial" w:eastAsiaTheme="minorHAnsi" w:hAnsi="Arial" w:cs="Arial"/>
          <w:b/>
          <w:szCs w:val="22"/>
        </w:rPr>
        <w:t>Why consent was given</w:t>
      </w:r>
    </w:p>
    <w:p w14:paraId="4890EE23" w14:textId="77777777" w:rsidR="00E11189" w:rsidRPr="00E11189" w:rsidRDefault="00E11189" w:rsidP="0014074F">
      <w:pPr>
        <w:spacing w:after="200"/>
        <w:jc w:val="both"/>
        <w:rPr>
          <w:rFonts w:ascii="Arial" w:eastAsiaTheme="minorHAnsi" w:hAnsi="Arial" w:cs="Arial"/>
          <w:szCs w:val="22"/>
        </w:rPr>
      </w:pPr>
      <w:r w:rsidRPr="00E11189">
        <w:rPr>
          <w:rFonts w:ascii="Arial" w:eastAsiaTheme="minorHAnsi" w:hAnsi="Arial" w:cs="Arial"/>
          <w:szCs w:val="22"/>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p w14:paraId="7B0C7D64" w14:textId="77777777" w:rsidR="00E11189" w:rsidRPr="00E11189" w:rsidRDefault="00E11189" w:rsidP="00E11189">
      <w:pPr>
        <w:spacing w:after="200"/>
        <w:rPr>
          <w:rFonts w:ascii="Arial" w:eastAsiaTheme="minorHAnsi" w:hAnsi="Arial" w:cs="Arial"/>
          <w:i/>
          <w:szCs w:val="22"/>
        </w:rPr>
      </w:pPr>
    </w:p>
    <w:p w14:paraId="29336CE0" w14:textId="77777777" w:rsidR="00A845A9" w:rsidRDefault="00A845A9" w:rsidP="00E1118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25097" w14:textId="77777777" w:rsidR="00C6173E" w:rsidRDefault="00C6173E">
      <w:r>
        <w:separator/>
      </w:r>
    </w:p>
  </w:endnote>
  <w:endnote w:type="continuationSeparator" w:id="0">
    <w:p w14:paraId="599D25E9" w14:textId="77777777" w:rsidR="00C6173E" w:rsidRDefault="00C6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73FE"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E88BA6"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3450"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C16">
      <w:rPr>
        <w:rStyle w:val="PageNumber"/>
        <w:noProof/>
      </w:rPr>
      <w:t>2</w:t>
    </w:r>
    <w:r>
      <w:rPr>
        <w:rStyle w:val="PageNumber"/>
      </w:rPr>
      <w:fldChar w:fldCharType="end"/>
    </w:r>
  </w:p>
  <w:p w14:paraId="72F1B3C8"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8180"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E0C16">
      <w:rPr>
        <w:rStyle w:val="PageNumber"/>
        <w:rFonts w:ascii="Arial" w:hAnsi="Arial" w:cs="Arial"/>
        <w:noProof/>
        <w:sz w:val="24"/>
        <w:szCs w:val="24"/>
      </w:rPr>
      <w:t>1</w:t>
    </w:r>
    <w:r w:rsidRPr="005D2A41">
      <w:rPr>
        <w:rStyle w:val="PageNumber"/>
        <w:rFonts w:ascii="Arial" w:hAnsi="Arial" w:cs="Arial"/>
        <w:sz w:val="24"/>
        <w:szCs w:val="24"/>
      </w:rPr>
      <w:fldChar w:fldCharType="end"/>
    </w:r>
  </w:p>
  <w:p w14:paraId="4086E291"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4491" w14:textId="77777777" w:rsidR="00C6173E" w:rsidRDefault="00C6173E">
      <w:r>
        <w:separator/>
      </w:r>
    </w:p>
  </w:footnote>
  <w:footnote w:type="continuationSeparator" w:id="0">
    <w:p w14:paraId="17F00425" w14:textId="77777777" w:rsidR="00C6173E" w:rsidRDefault="00C6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8BB6" w14:textId="77777777" w:rsidR="0057543A" w:rsidRDefault="0057543A">
    <w:r>
      <w:rPr>
        <w:noProof/>
        <w:lang w:eastAsia="en-GB"/>
      </w:rPr>
      <w:drawing>
        <wp:anchor distT="0" distB="0" distL="114300" distR="114300" simplePos="0" relativeHeight="251657728" behindDoc="1" locked="0" layoutInCell="1" allowOverlap="1" wp14:anchorId="1CA916CD" wp14:editId="1DDC6B2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60076B9" w14:textId="77777777" w:rsidR="0057543A" w:rsidRDefault="0057543A">
    <w:pPr>
      <w:pStyle w:val="Header"/>
    </w:pPr>
  </w:p>
  <w:p w14:paraId="2AD75420"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074F"/>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B2A5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7F62F9"/>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9F6B10"/>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173E"/>
    <w:rsid w:val="00C64FA5"/>
    <w:rsid w:val="00C84A12"/>
    <w:rsid w:val="00CF3DC5"/>
    <w:rsid w:val="00D017E2"/>
    <w:rsid w:val="00D16D97"/>
    <w:rsid w:val="00D27F42"/>
    <w:rsid w:val="00D84713"/>
    <w:rsid w:val="00DD4B82"/>
    <w:rsid w:val="00DE0C16"/>
    <w:rsid w:val="00E11189"/>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FC1EB"/>
  <w15:docId w15:val="{3ED2051E-B0FA-4B0E-98E7-19EE1A9A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A24554961</value>
    </field>
    <field name="Objective-Title">
      <value order="0">10 December 2018 - Written Statement - The Floods and Water (Amendments etc.) (EU Exit) Regulations 2019</value>
    </field>
    <field name="Objective-Description">
      <value order="0"/>
    </field>
    <field name="Objective-CreationStamp">
      <value order="0">2018-12-10T10:46:27Z</value>
    </field>
    <field name="Objective-IsApproved">
      <value order="0">false</value>
    </field>
    <field name="Objective-IsPublished">
      <value order="0">true</value>
    </field>
    <field name="Objective-DatePublished">
      <value order="0">2018-12-10T10:48:10Z</value>
    </field>
    <field name="Objective-ModificationStamp">
      <value order="0">2018-12-10T11:29:41Z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vA48810007</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2018-12-10T23:59:59Z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7ECD717-0E62-4169-A5E1-8F14AB33BBE3}"/>
</file>

<file path=customXml/itemProps3.xml><?xml version="1.0" encoding="utf-8"?>
<ds:datastoreItem xmlns:ds="http://schemas.openxmlformats.org/officeDocument/2006/customXml" ds:itemID="{456FAED0-6EA8-4DD1-9887-4101FDC99EBB}"/>
</file>

<file path=customXml/itemProps4.xml><?xml version="1.0" encoding="utf-8"?>
<ds:datastoreItem xmlns:ds="http://schemas.openxmlformats.org/officeDocument/2006/customXml" ds:itemID="{FAD3636A-7AD8-480D-8E6C-2430628550C0}"/>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Floods and Water (Amendments etc.) (EU Exit) Regulations 2019</dc:title>
  <dc:creator>burnsc</dc:creator>
  <cp:lastModifiedBy>Oxenham, James (OFM - Cabinet Division)</cp:lastModifiedBy>
  <cp:revision>2</cp:revision>
  <cp:lastPrinted>2011-05-27T10:19:00Z</cp:lastPrinted>
  <dcterms:created xsi:type="dcterms:W3CDTF">2018-12-10T13:08:00Z</dcterms:created>
  <dcterms:modified xsi:type="dcterms:W3CDTF">2018-12-10T13:08:00Z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A24554961</vt:lpwstr>
  </property>
  <property fmtid="{D5CDD505-2E9C-101B-9397-08002B2CF9AE}" pid="4" name="Objective-Title">
    <vt:lpwstr>10 December 2018 - Written Statement - The Floods and Water (Amendments etc.) (EU Exit) Regulations 2019</vt:lpwstr>
  </property>
  <property fmtid="{D5CDD505-2E9C-101B-9397-08002B2CF9AE}" pid="5" name="Objective-Comment">
    <vt:lpwstr/>
  </property>
  <property fmtid="{D5CDD505-2E9C-101B-9397-08002B2CF9AE}" pid="6" name="Objective-CreationStamp">
    <vt:filetime>2018-12-10T10:46:33Z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2018-12-10T10:48:10Z</vt:filetime>
  </property>
  <property fmtid="{D5CDD505-2E9C-101B-9397-08002B2CF9AE}" pid="10" name="Objective-ModificationStamp">
    <vt:filetime>2018-12-10T11:29:41Z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vA48810007</vt:lpwstr>
  </property>
  <property fmtid="{D5CDD505-2E9C-101B-9397-08002B2CF9AE}" pid="28" name="Objective-Language">
    <vt:lpwstr>English (eng)</vt:lpwstr>
  </property>
  <property fmtid="{D5CDD505-2E9C-101B-9397-08002B2CF9AE}" pid="29" name="Objective-Date Acquired">
    <vt:filetime>2018-12-10T23:59:59Z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