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8947" w14:textId="18FA174E" w:rsidR="005311E3" w:rsidRDefault="005311E3" w:rsidP="005311E3">
      <w:pPr>
        <w:pStyle w:val="Heading1"/>
        <w:spacing w:before="0" w:after="0"/>
        <w:jc w:val="center"/>
        <w:rPr>
          <w:rFonts w:ascii="Times New Roman" w:hAnsi="Times New Roman" w:cs="Times New Roman"/>
          <w:color w:val="FF0000"/>
          <w:szCs w:val="24"/>
        </w:rPr>
      </w:pPr>
      <w:r w:rsidRPr="005311E3">
        <w:rPr>
          <w:rFonts w:ascii="Times New Roman" w:hAnsi="Times New Roman" w:cs="Times New Roman"/>
          <w:noProof/>
        </w:rPr>
        <mc:AlternateContent>
          <mc:Choice Requires="wps">
            <w:drawing>
              <wp:anchor distT="4294967295" distB="4294967295" distL="114300" distR="114300" simplePos="0" relativeHeight="251657216" behindDoc="0" locked="0" layoutInCell="0" allowOverlap="1" wp14:anchorId="38AF242A" wp14:editId="6E3C4398">
                <wp:simplePos x="0" y="0"/>
                <wp:positionH relativeFrom="column">
                  <wp:posOffset>46990</wp:posOffset>
                </wp:positionH>
                <wp:positionV relativeFrom="paragraph">
                  <wp:posOffset>217169</wp:posOffset>
                </wp:positionV>
                <wp:extent cx="5303520" cy="0"/>
                <wp:effectExtent l="0" t="0" r="0" b="0"/>
                <wp:wrapNone/>
                <wp:docPr id="10605451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7DEC6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7.1pt" to="42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" o:allowincell="f" strokecolor="red" strokeweight="1.5pt"/>
            </w:pict>
          </mc:Fallback>
        </mc:AlternateContent>
      </w:r>
    </w:p>
    <w:p w14:paraId="24435A0B" w14:textId="2D57C4DF" w:rsidR="00A6588F" w:rsidRPr="005311E3" w:rsidRDefault="00A6588F" w:rsidP="005311E3">
      <w:pPr>
        <w:pStyle w:val="Heading1"/>
        <w:spacing w:before="0" w:after="0"/>
        <w:jc w:val="center"/>
        <w:rPr>
          <w:rFonts w:ascii="Times New Roman" w:hAnsi="Times New Roman" w:cs="Times New Roman"/>
          <w:b/>
          <w:bCs/>
          <w:color w:val="FF0000"/>
          <w:szCs w:val="24"/>
        </w:rPr>
      </w:pPr>
      <w:r w:rsidRPr="005311E3">
        <w:rPr>
          <w:rFonts w:ascii="Times New Roman" w:hAnsi="Times New Roman" w:cs="Times New Roman"/>
          <w:b/>
          <w:bCs/>
          <w:color w:val="FF0000"/>
          <w:szCs w:val="24"/>
        </w:rPr>
        <w:t>WRITTEN STATEMENT</w:t>
      </w:r>
    </w:p>
    <w:p w14:paraId="46E22925" w14:textId="77777777" w:rsidR="00A6588F" w:rsidRPr="005311E3" w:rsidRDefault="00A6588F" w:rsidP="005311E3">
      <w:pPr>
        <w:pStyle w:val="Heading1"/>
        <w:spacing w:before="0" w:after="0"/>
        <w:jc w:val="center"/>
        <w:rPr>
          <w:rFonts w:ascii="Times New Roman" w:hAnsi="Times New Roman" w:cs="Times New Roman"/>
          <w:b/>
          <w:bCs/>
          <w:color w:val="FF0000"/>
          <w:szCs w:val="24"/>
        </w:rPr>
      </w:pPr>
      <w:r w:rsidRPr="005311E3">
        <w:rPr>
          <w:rFonts w:ascii="Times New Roman" w:hAnsi="Times New Roman" w:cs="Times New Roman"/>
          <w:b/>
          <w:bCs/>
          <w:color w:val="FF0000"/>
          <w:szCs w:val="24"/>
        </w:rPr>
        <w:t>BY</w:t>
      </w:r>
    </w:p>
    <w:p w14:paraId="6D513F6A" w14:textId="77777777" w:rsidR="00A6588F" w:rsidRPr="005311E3" w:rsidRDefault="00A6588F" w:rsidP="005311E3">
      <w:pPr>
        <w:pStyle w:val="Heading1"/>
        <w:spacing w:before="0" w:after="0"/>
        <w:jc w:val="center"/>
        <w:rPr>
          <w:rFonts w:ascii="Times New Roman" w:hAnsi="Times New Roman" w:cs="Times New Roman"/>
          <w:b/>
          <w:bCs/>
          <w:color w:val="FF0000"/>
          <w:szCs w:val="24"/>
        </w:rPr>
      </w:pPr>
      <w:r w:rsidRPr="005311E3">
        <w:rPr>
          <w:rFonts w:ascii="Times New Roman" w:hAnsi="Times New Roman" w:cs="Times New Roman"/>
          <w:b/>
          <w:bCs/>
          <w:color w:val="FF0000"/>
          <w:szCs w:val="24"/>
        </w:rPr>
        <w:t>THE WELSH GOVERNMENT</w:t>
      </w:r>
    </w:p>
    <w:p w14:paraId="60FAB094" w14:textId="716E596D" w:rsidR="00A6588F" w:rsidRPr="000E04FB" w:rsidRDefault="005311E3" w:rsidP="00A6588F">
      <w:pPr>
        <w:rPr>
          <w:rFonts w:ascii="Arial" w:hAnsi="Arial" w:cs="Arial"/>
          <w:b/>
          <w:color w:val="FF0000"/>
          <w:sz w:val="24"/>
          <w:szCs w:val="24"/>
        </w:rPr>
      </w:pPr>
      <w:r>
        <w:rPr>
          <w:rFonts w:ascii="Arial" w:hAnsi="Arial" w:cs="Arial"/>
          <w:noProof/>
        </w:rPr>
        <mc:AlternateContent>
          <mc:Choice Requires="wps">
            <w:drawing>
              <wp:anchor distT="4294967295" distB="4294967295" distL="114300" distR="114300" simplePos="0" relativeHeight="251658240" behindDoc="0" locked="0" layoutInCell="0" allowOverlap="1" wp14:anchorId="320B2A56" wp14:editId="4255D237">
                <wp:simplePos x="0" y="0"/>
                <wp:positionH relativeFrom="column">
                  <wp:posOffset>46990</wp:posOffset>
                </wp:positionH>
                <wp:positionV relativeFrom="paragraph">
                  <wp:posOffset>128269</wp:posOffset>
                </wp:positionV>
                <wp:extent cx="5303520" cy="0"/>
                <wp:effectExtent l="0" t="0" r="0" b="0"/>
                <wp:wrapNone/>
                <wp:docPr id="42990380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2CD7E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73"/>
        <w:gridCol w:w="7604"/>
      </w:tblGrid>
      <w:tr w:rsidR="00A6588F" w:rsidRPr="000E04FB" w14:paraId="58128E1C" w14:textId="77777777" w:rsidTr="005311E3">
        <w:trPr>
          <w:trHeight w:val="1174"/>
        </w:trPr>
        <w:tc>
          <w:tcPr>
            <w:tcW w:w="1373" w:type="dxa"/>
            <w:tcBorders>
              <w:top w:val="nil"/>
              <w:left w:val="nil"/>
              <w:bottom w:val="nil"/>
              <w:right w:val="nil"/>
            </w:tcBorders>
          </w:tcPr>
          <w:p w14:paraId="736CCFDE" w14:textId="77777777" w:rsidR="005311E3" w:rsidRDefault="005311E3" w:rsidP="005311E3">
            <w:pPr>
              <w:rPr>
                <w:rFonts w:ascii="Arial" w:hAnsi="Arial" w:cs="Arial"/>
                <w:b/>
                <w:bCs/>
                <w:sz w:val="24"/>
                <w:szCs w:val="24"/>
              </w:rPr>
            </w:pPr>
          </w:p>
          <w:p w14:paraId="0C550D56" w14:textId="6795A877" w:rsidR="00A6588F" w:rsidRPr="000E04FB" w:rsidRDefault="00A6588F" w:rsidP="005311E3">
            <w:pPr>
              <w:rPr>
                <w:rFonts w:ascii="Arial" w:hAnsi="Arial" w:cs="Arial"/>
                <w:b/>
                <w:bCs/>
                <w:sz w:val="24"/>
                <w:szCs w:val="24"/>
              </w:rPr>
            </w:pPr>
            <w:r w:rsidRPr="000E04FB">
              <w:rPr>
                <w:rFonts w:ascii="Arial" w:hAnsi="Arial" w:cs="Arial"/>
                <w:b/>
                <w:bCs/>
                <w:sz w:val="24"/>
                <w:szCs w:val="24"/>
              </w:rPr>
              <w:t xml:space="preserve">TITLE </w:t>
            </w:r>
          </w:p>
        </w:tc>
        <w:tc>
          <w:tcPr>
            <w:tcW w:w="7604" w:type="dxa"/>
            <w:tcBorders>
              <w:top w:val="nil"/>
              <w:left w:val="nil"/>
              <w:bottom w:val="nil"/>
              <w:right w:val="nil"/>
            </w:tcBorders>
          </w:tcPr>
          <w:p w14:paraId="3ED17DE4" w14:textId="77777777" w:rsidR="005311E3" w:rsidRDefault="005311E3" w:rsidP="005311E3">
            <w:pPr>
              <w:pStyle w:val="Heading1"/>
              <w:shd w:val="clear" w:color="auto" w:fill="FFFFFF"/>
              <w:spacing w:before="0" w:after="0"/>
              <w:rPr>
                <w:rFonts w:ascii="Arial" w:hAnsi="Arial" w:cs="Arial"/>
                <w:b/>
                <w:bCs/>
                <w:color w:val="1F1F1F"/>
                <w:sz w:val="24"/>
                <w:szCs w:val="24"/>
              </w:rPr>
            </w:pPr>
          </w:p>
          <w:p w14:paraId="2C65CA67" w14:textId="306F7468" w:rsidR="00A6588F" w:rsidRPr="005311E3" w:rsidRDefault="00A6588F" w:rsidP="005311E3">
            <w:pPr>
              <w:pStyle w:val="Heading1"/>
              <w:shd w:val="clear" w:color="auto" w:fill="FFFFFF"/>
              <w:spacing w:before="0" w:after="0"/>
              <w:rPr>
                <w:rFonts w:ascii="Arial" w:hAnsi="Arial" w:cs="Arial"/>
                <w:b/>
                <w:bCs/>
                <w:color w:val="1F1F1F"/>
                <w:sz w:val="48"/>
              </w:rPr>
            </w:pPr>
            <w:r w:rsidRPr="005311E3">
              <w:rPr>
                <w:rFonts w:ascii="Arial" w:hAnsi="Arial" w:cs="Arial"/>
                <w:b/>
                <w:bCs/>
                <w:color w:val="1F1F1F"/>
                <w:sz w:val="24"/>
                <w:szCs w:val="24"/>
              </w:rPr>
              <w:t>Land Transaction Tax Higher Residential Rates: proposals to amend the refund and exception rules</w:t>
            </w:r>
          </w:p>
        </w:tc>
      </w:tr>
      <w:tr w:rsidR="00A6588F" w:rsidRPr="000E04FB" w14:paraId="60C64503" w14:textId="77777777" w:rsidTr="005311E3">
        <w:trPr>
          <w:trHeight w:val="433"/>
        </w:trPr>
        <w:tc>
          <w:tcPr>
            <w:tcW w:w="1373" w:type="dxa"/>
            <w:tcBorders>
              <w:top w:val="nil"/>
              <w:left w:val="nil"/>
              <w:bottom w:val="nil"/>
              <w:right w:val="nil"/>
            </w:tcBorders>
          </w:tcPr>
          <w:p w14:paraId="5AE2A6F4" w14:textId="77777777" w:rsidR="00A6588F" w:rsidRPr="002064FB" w:rsidRDefault="00A6588F" w:rsidP="005311E3">
            <w:pPr>
              <w:rPr>
                <w:rFonts w:ascii="Arial" w:hAnsi="Arial" w:cs="Arial"/>
                <w:b/>
                <w:bCs/>
                <w:sz w:val="24"/>
                <w:szCs w:val="24"/>
              </w:rPr>
            </w:pPr>
            <w:r w:rsidRPr="002064FB">
              <w:rPr>
                <w:rFonts w:ascii="Arial" w:hAnsi="Arial" w:cs="Arial"/>
                <w:b/>
                <w:bCs/>
                <w:sz w:val="24"/>
                <w:szCs w:val="24"/>
              </w:rPr>
              <w:t xml:space="preserve">DATE </w:t>
            </w:r>
          </w:p>
        </w:tc>
        <w:tc>
          <w:tcPr>
            <w:tcW w:w="7604" w:type="dxa"/>
            <w:tcBorders>
              <w:top w:val="nil"/>
              <w:left w:val="nil"/>
              <w:bottom w:val="nil"/>
              <w:right w:val="nil"/>
            </w:tcBorders>
          </w:tcPr>
          <w:p w14:paraId="442BD63A" w14:textId="05D771F1" w:rsidR="00A6588F" w:rsidRPr="002064FB" w:rsidRDefault="00A6588F" w:rsidP="005311E3">
            <w:pPr>
              <w:rPr>
                <w:rFonts w:ascii="Arial" w:hAnsi="Arial" w:cs="Arial"/>
                <w:b/>
                <w:bCs/>
                <w:sz w:val="24"/>
                <w:szCs w:val="24"/>
              </w:rPr>
            </w:pPr>
            <w:r w:rsidRPr="002064FB">
              <w:rPr>
                <w:rFonts w:ascii="Arial" w:hAnsi="Arial" w:cs="Arial"/>
                <w:b/>
                <w:bCs/>
                <w:sz w:val="24"/>
                <w:szCs w:val="24"/>
              </w:rPr>
              <w:t>18 June 2024</w:t>
            </w:r>
          </w:p>
        </w:tc>
      </w:tr>
      <w:tr w:rsidR="00A6588F" w:rsidRPr="000E04FB" w14:paraId="1510F9A8" w14:textId="77777777" w:rsidTr="005311E3">
        <w:trPr>
          <w:trHeight w:val="713"/>
        </w:trPr>
        <w:tc>
          <w:tcPr>
            <w:tcW w:w="1373" w:type="dxa"/>
            <w:tcBorders>
              <w:top w:val="nil"/>
              <w:left w:val="nil"/>
              <w:bottom w:val="nil"/>
              <w:right w:val="nil"/>
            </w:tcBorders>
          </w:tcPr>
          <w:p w14:paraId="31526B0B" w14:textId="77777777" w:rsidR="00A6588F" w:rsidRPr="000E04FB" w:rsidRDefault="00A6588F" w:rsidP="005311E3">
            <w:pPr>
              <w:rPr>
                <w:rFonts w:ascii="Arial" w:hAnsi="Arial" w:cs="Arial"/>
                <w:b/>
                <w:bCs/>
                <w:sz w:val="24"/>
                <w:szCs w:val="24"/>
              </w:rPr>
            </w:pPr>
            <w:r w:rsidRPr="000E04FB">
              <w:rPr>
                <w:rFonts w:ascii="Arial" w:hAnsi="Arial" w:cs="Arial"/>
                <w:b/>
                <w:bCs/>
                <w:sz w:val="24"/>
                <w:szCs w:val="24"/>
              </w:rPr>
              <w:t>BY</w:t>
            </w:r>
          </w:p>
        </w:tc>
        <w:tc>
          <w:tcPr>
            <w:tcW w:w="7604" w:type="dxa"/>
            <w:tcBorders>
              <w:top w:val="nil"/>
              <w:left w:val="nil"/>
              <w:bottom w:val="nil"/>
              <w:right w:val="nil"/>
            </w:tcBorders>
          </w:tcPr>
          <w:p w14:paraId="7B8D659B" w14:textId="77777777" w:rsidR="00A6588F" w:rsidRPr="000E04FB" w:rsidRDefault="00A6588F" w:rsidP="005311E3">
            <w:pPr>
              <w:rPr>
                <w:rFonts w:ascii="Arial" w:hAnsi="Arial" w:cs="Arial"/>
                <w:b/>
                <w:sz w:val="24"/>
                <w:szCs w:val="24"/>
              </w:rPr>
            </w:pPr>
            <w:r w:rsidRPr="000E04FB">
              <w:rPr>
                <w:rFonts w:ascii="Arial" w:hAnsi="Arial" w:cs="Arial"/>
                <w:b/>
                <w:bCs/>
                <w:sz w:val="24"/>
                <w:szCs w:val="24"/>
              </w:rPr>
              <w:t xml:space="preserve">Rebecca Evans MS, Cabinet Secretary for Finance, Constitution &amp; Cabinet Office </w:t>
            </w:r>
          </w:p>
          <w:p w14:paraId="7A7FD4BB" w14:textId="77777777" w:rsidR="00A6588F" w:rsidRPr="000E04FB" w:rsidRDefault="00A6588F" w:rsidP="005311E3">
            <w:pPr>
              <w:rPr>
                <w:rFonts w:ascii="Arial" w:hAnsi="Arial" w:cs="Arial"/>
                <w:b/>
                <w:sz w:val="24"/>
                <w:szCs w:val="24"/>
              </w:rPr>
            </w:pPr>
          </w:p>
        </w:tc>
      </w:tr>
    </w:tbl>
    <w:p w14:paraId="05FF1A6C" w14:textId="3D6ACF04" w:rsidR="00A6588F" w:rsidRPr="00A6588F" w:rsidRDefault="00A6588F" w:rsidP="00A6588F">
      <w:pPr>
        <w:rPr>
          <w:rFonts w:ascii="Arial" w:hAnsi="Arial" w:cs="Arial"/>
          <w:sz w:val="24"/>
          <w:szCs w:val="24"/>
        </w:rPr>
      </w:pPr>
      <w:r w:rsidRPr="00A6588F">
        <w:rPr>
          <w:rFonts w:ascii="Arial" w:hAnsi="Arial" w:cs="Arial"/>
          <w:sz w:val="24"/>
          <w:szCs w:val="24"/>
        </w:rPr>
        <w:t xml:space="preserve">Today the Welsh Government has published a report summarising the responses to the public consultation on </w:t>
      </w:r>
      <w:r w:rsidRPr="00A6588F">
        <w:rPr>
          <w:rFonts w:ascii="Arial" w:hAnsi="Arial" w:cs="Arial"/>
          <w:color w:val="000000"/>
          <w:sz w:val="24"/>
          <w:szCs w:val="24"/>
        </w:rPr>
        <w:t xml:space="preserve">proposals to </w:t>
      </w:r>
      <w:r w:rsidRPr="00A6588F">
        <w:rPr>
          <w:rFonts w:ascii="Arial" w:hAnsi="Arial" w:cs="Arial"/>
          <w:sz w:val="24"/>
          <w:szCs w:val="24"/>
        </w:rPr>
        <w:t xml:space="preserve">extend the land transaction tax higher residential rates 3-year exception and refund periods in specified circumstances. The consultation was launched on 19 December 2023 and closed on 17 March 2024. </w:t>
      </w:r>
    </w:p>
    <w:p w14:paraId="6F4E3947" w14:textId="77777777" w:rsidR="00A6588F" w:rsidRPr="00A6588F" w:rsidRDefault="00A6588F" w:rsidP="00A6588F">
      <w:pPr>
        <w:rPr>
          <w:rFonts w:ascii="Arial" w:hAnsi="Arial" w:cs="Arial"/>
          <w:sz w:val="24"/>
          <w:szCs w:val="24"/>
        </w:rPr>
      </w:pPr>
    </w:p>
    <w:p w14:paraId="26F84391" w14:textId="77777777" w:rsidR="00A6588F" w:rsidRDefault="00A6588F" w:rsidP="00A6588F">
      <w:pPr>
        <w:rPr>
          <w:rFonts w:ascii="Arial" w:hAnsi="Arial" w:cs="Arial"/>
          <w:sz w:val="24"/>
          <w:szCs w:val="24"/>
        </w:rPr>
      </w:pPr>
      <w:r w:rsidRPr="00A6588F">
        <w:rPr>
          <w:rFonts w:ascii="Arial" w:hAnsi="Arial" w:cs="Arial"/>
          <w:sz w:val="24"/>
          <w:szCs w:val="24"/>
        </w:rPr>
        <w:t>The consultation set out the Welsh Government’s proposals to extend the land transaction tax 3-year refund and exception periods, where relevant transactions are prevented due to emergency restrictions, and/or impeded and therefore delayed due to issues related to fire safety defects.</w:t>
      </w:r>
    </w:p>
    <w:p w14:paraId="1F6A2B82" w14:textId="77777777" w:rsidR="00A6588F" w:rsidRDefault="00A6588F" w:rsidP="00A6588F">
      <w:pPr>
        <w:rPr>
          <w:rFonts w:ascii="Arial" w:hAnsi="Arial" w:cs="Arial"/>
          <w:sz w:val="24"/>
          <w:szCs w:val="24"/>
        </w:rPr>
      </w:pPr>
    </w:p>
    <w:p w14:paraId="7720433A" w14:textId="1B296DE8" w:rsidR="00A6588F" w:rsidRPr="00A6588F" w:rsidRDefault="00A6588F" w:rsidP="00A6588F">
      <w:pPr>
        <w:rPr>
          <w:rFonts w:ascii="Arial" w:hAnsi="Arial" w:cs="Arial"/>
          <w:sz w:val="24"/>
          <w:szCs w:val="24"/>
        </w:rPr>
      </w:pPr>
      <w:r w:rsidRPr="00A6588F">
        <w:rPr>
          <w:rFonts w:ascii="Arial" w:hAnsi="Arial" w:cs="Arial"/>
          <w:sz w:val="24"/>
          <w:szCs w:val="24"/>
        </w:rPr>
        <w:t>All responses have now been considered. The report sets out the Welsh Government’s response to the consultation. The Welsh Government’s intention is that the draft statutory instrument which will make the rule changes will be laid in the Senedd on 18 June 2024 and debated in July 2024.</w:t>
      </w:r>
    </w:p>
    <w:p w14:paraId="2882373B" w14:textId="77777777" w:rsidR="00050E5A" w:rsidRPr="00A6588F" w:rsidRDefault="00050E5A" w:rsidP="00050E5A">
      <w:pPr>
        <w:rPr>
          <w:rFonts w:ascii="Arial" w:hAnsi="Arial" w:cs="Arial"/>
          <w:sz w:val="24"/>
          <w:szCs w:val="24"/>
        </w:rPr>
      </w:pPr>
    </w:p>
    <w:p w14:paraId="268D9BF1" w14:textId="77777777" w:rsidR="00050E5A" w:rsidRPr="00A6588F" w:rsidRDefault="00050E5A" w:rsidP="00050E5A">
      <w:pPr>
        <w:rPr>
          <w:rFonts w:ascii="Arial" w:hAnsi="Arial" w:cs="Arial"/>
          <w:sz w:val="24"/>
          <w:szCs w:val="24"/>
        </w:rPr>
      </w:pPr>
      <w:r w:rsidRPr="00A6588F">
        <w:rPr>
          <w:rFonts w:ascii="Arial" w:hAnsi="Arial" w:cs="Arial"/>
          <w:sz w:val="24"/>
          <w:szCs w:val="24"/>
        </w:rPr>
        <w:t xml:space="preserve">The report can be found here: </w:t>
      </w:r>
      <w:hyperlink r:id="rId6" w:history="1">
        <w:r w:rsidRPr="00A6588F">
          <w:rPr>
            <w:rStyle w:val="Hyperlink"/>
            <w:rFonts w:ascii="Arial" w:eastAsiaTheme="majorEastAsia" w:hAnsi="Arial" w:cs="Arial"/>
            <w:sz w:val="24"/>
            <w:szCs w:val="24"/>
          </w:rPr>
          <w:t>Land Transaction Tax Higher Residential Rates: proposals to amend the refund and exception rules | GOV.WALES</w:t>
        </w:r>
      </w:hyperlink>
    </w:p>
    <w:p w14:paraId="0841323F" w14:textId="77777777" w:rsidR="00A6588F" w:rsidRPr="00404DAC" w:rsidRDefault="00A6588F">
      <w:pPr>
        <w:rPr>
          <w:rFonts w:ascii="Arial" w:hAnsi="Arial" w:cs="Arial"/>
          <w:sz w:val="24"/>
          <w:szCs w:val="24"/>
        </w:rPr>
      </w:pPr>
    </w:p>
    <w:sectPr w:rsidR="00A6588F" w:rsidRPr="00404D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34EB" w14:textId="77777777" w:rsidR="00A6588F" w:rsidRDefault="00A6588F" w:rsidP="00A6588F">
      <w:r>
        <w:separator/>
      </w:r>
    </w:p>
  </w:endnote>
  <w:endnote w:type="continuationSeparator" w:id="0">
    <w:p w14:paraId="1FC9CE8B" w14:textId="77777777" w:rsidR="00A6588F" w:rsidRDefault="00A6588F" w:rsidP="00A6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2F96" w14:textId="77777777" w:rsidR="00A6588F" w:rsidRDefault="00A6588F" w:rsidP="00A6588F">
      <w:r>
        <w:separator/>
      </w:r>
    </w:p>
  </w:footnote>
  <w:footnote w:type="continuationSeparator" w:id="0">
    <w:p w14:paraId="0E99A6AE" w14:textId="77777777" w:rsidR="00A6588F" w:rsidRDefault="00A6588F" w:rsidP="00A6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D1C" w14:textId="0244E5CA" w:rsidR="00A6588F" w:rsidRDefault="00A6588F">
    <w:pPr>
      <w:pStyle w:val="Header"/>
    </w:pPr>
    <w:r w:rsidRPr="00713674">
      <w:rPr>
        <w:rFonts w:ascii="Arial" w:hAnsi="Arial" w:cs="Arial"/>
        <w:b/>
        <w:bCs/>
        <w:noProof/>
        <w:lang w:eastAsia="en-GB"/>
      </w:rPr>
      <w:drawing>
        <wp:anchor distT="0" distB="0" distL="114300" distR="114300" simplePos="0" relativeHeight="251658752" behindDoc="1" locked="0" layoutInCell="1" allowOverlap="1" wp14:anchorId="53B373A5" wp14:editId="645CA135">
          <wp:simplePos x="0" y="0"/>
          <wp:positionH relativeFrom="column">
            <wp:posOffset>4572000</wp:posOffset>
          </wp:positionH>
          <wp:positionV relativeFrom="paragraph">
            <wp:posOffset>-253786</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CC434B" w14:textId="77777777" w:rsidR="00A6588F" w:rsidRDefault="00A6588F">
    <w:pPr>
      <w:pStyle w:val="Header"/>
    </w:pPr>
  </w:p>
  <w:p w14:paraId="652CA08A" w14:textId="5E33BF75" w:rsidR="00A6588F" w:rsidRDefault="00A6588F">
    <w:pPr>
      <w:pStyle w:val="Header"/>
    </w:pPr>
  </w:p>
  <w:p w14:paraId="3417DBAC" w14:textId="77777777" w:rsidR="00A6588F" w:rsidRDefault="00A6588F">
    <w:pPr>
      <w:pStyle w:val="Header"/>
    </w:pPr>
  </w:p>
  <w:p w14:paraId="195A36B6" w14:textId="77777777" w:rsidR="00A6588F" w:rsidRDefault="00A6588F">
    <w:pPr>
      <w:pStyle w:val="Header"/>
    </w:pPr>
  </w:p>
  <w:p w14:paraId="3414EB19" w14:textId="77777777" w:rsidR="00A6588F" w:rsidRDefault="00A6588F">
    <w:pPr>
      <w:pStyle w:val="Header"/>
    </w:pPr>
  </w:p>
  <w:p w14:paraId="0FE13F5C" w14:textId="77777777" w:rsidR="00A6588F" w:rsidRDefault="00A6588F">
    <w:pPr>
      <w:pStyle w:val="Header"/>
    </w:pPr>
  </w:p>
  <w:p w14:paraId="28D2B25D" w14:textId="77777777" w:rsidR="00A6588F" w:rsidRDefault="00A65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8F"/>
    <w:rsid w:val="00050E5A"/>
    <w:rsid w:val="00404DAC"/>
    <w:rsid w:val="005311E3"/>
    <w:rsid w:val="008C5D97"/>
    <w:rsid w:val="009C56C7"/>
    <w:rsid w:val="00A6588F"/>
    <w:rsid w:val="00C64175"/>
    <w:rsid w:val="00D06BB7"/>
    <w:rsid w:val="00F9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3D4C53"/>
  <w15:chartTrackingRefBased/>
  <w15:docId w15:val="{2E381752-B55C-4FD0-9C4C-50688C31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8F"/>
    <w:pPr>
      <w:spacing w:after="0" w:line="240" w:lineRule="auto"/>
    </w:pPr>
    <w:rPr>
      <w:rFonts w:ascii="TradeGothic" w:eastAsia="Times New Roman" w:hAnsi="TradeGothic" w:cs="Times New Roman"/>
      <w:kern w:val="0"/>
      <w:szCs w:val="20"/>
    </w:rPr>
  </w:style>
  <w:style w:type="paragraph" w:styleId="Heading1">
    <w:name w:val="heading 1"/>
    <w:basedOn w:val="Normal"/>
    <w:next w:val="Normal"/>
    <w:link w:val="Heading1Char"/>
    <w:qFormat/>
    <w:rsid w:val="00A658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58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58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58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58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58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58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58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58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58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58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58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58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58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58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58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588F"/>
    <w:rPr>
      <w:rFonts w:eastAsiaTheme="majorEastAsia" w:cstheme="majorBidi"/>
      <w:color w:val="272727" w:themeColor="text1" w:themeTint="D8"/>
    </w:rPr>
  </w:style>
  <w:style w:type="paragraph" w:styleId="Title">
    <w:name w:val="Title"/>
    <w:basedOn w:val="Normal"/>
    <w:next w:val="Normal"/>
    <w:link w:val="TitleChar"/>
    <w:uiPriority w:val="10"/>
    <w:qFormat/>
    <w:rsid w:val="00A658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8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58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58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588F"/>
    <w:pPr>
      <w:spacing w:before="160"/>
      <w:jc w:val="center"/>
    </w:pPr>
    <w:rPr>
      <w:i/>
      <w:iCs/>
      <w:color w:val="404040" w:themeColor="text1" w:themeTint="BF"/>
    </w:rPr>
  </w:style>
  <w:style w:type="character" w:customStyle="1" w:styleId="QuoteChar">
    <w:name w:val="Quote Char"/>
    <w:basedOn w:val="DefaultParagraphFont"/>
    <w:link w:val="Quote"/>
    <w:uiPriority w:val="29"/>
    <w:rsid w:val="00A6588F"/>
    <w:rPr>
      <w:i/>
      <w:iCs/>
      <w:color w:val="404040" w:themeColor="text1" w:themeTint="BF"/>
    </w:rPr>
  </w:style>
  <w:style w:type="paragraph" w:styleId="ListParagraph">
    <w:name w:val="List Paragraph"/>
    <w:basedOn w:val="Normal"/>
    <w:uiPriority w:val="34"/>
    <w:qFormat/>
    <w:rsid w:val="00A6588F"/>
    <w:pPr>
      <w:ind w:left="720"/>
      <w:contextualSpacing/>
    </w:pPr>
  </w:style>
  <w:style w:type="character" w:styleId="IntenseEmphasis">
    <w:name w:val="Intense Emphasis"/>
    <w:basedOn w:val="DefaultParagraphFont"/>
    <w:uiPriority w:val="21"/>
    <w:qFormat/>
    <w:rsid w:val="00A6588F"/>
    <w:rPr>
      <w:i/>
      <w:iCs/>
      <w:color w:val="0F4761" w:themeColor="accent1" w:themeShade="BF"/>
    </w:rPr>
  </w:style>
  <w:style w:type="paragraph" w:styleId="IntenseQuote">
    <w:name w:val="Intense Quote"/>
    <w:basedOn w:val="Normal"/>
    <w:next w:val="Normal"/>
    <w:link w:val="IntenseQuoteChar"/>
    <w:uiPriority w:val="30"/>
    <w:qFormat/>
    <w:rsid w:val="00A658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588F"/>
    <w:rPr>
      <w:i/>
      <w:iCs/>
      <w:color w:val="0F4761" w:themeColor="accent1" w:themeShade="BF"/>
    </w:rPr>
  </w:style>
  <w:style w:type="character" w:styleId="IntenseReference">
    <w:name w:val="Intense Reference"/>
    <w:basedOn w:val="DefaultParagraphFont"/>
    <w:uiPriority w:val="32"/>
    <w:qFormat/>
    <w:rsid w:val="00A6588F"/>
    <w:rPr>
      <w:b/>
      <w:bCs/>
      <w:smallCaps/>
      <w:color w:val="0F4761" w:themeColor="accent1" w:themeShade="BF"/>
      <w:spacing w:val="5"/>
    </w:rPr>
  </w:style>
  <w:style w:type="character" w:styleId="Hyperlink">
    <w:name w:val="Hyperlink"/>
    <w:basedOn w:val="DefaultParagraphFont"/>
    <w:uiPriority w:val="99"/>
    <w:semiHidden/>
    <w:unhideWhenUsed/>
    <w:rsid w:val="00A6588F"/>
    <w:rPr>
      <w:color w:val="0000FF"/>
      <w:u w:val="single"/>
    </w:rPr>
  </w:style>
  <w:style w:type="paragraph" w:styleId="Header">
    <w:name w:val="header"/>
    <w:basedOn w:val="Normal"/>
    <w:link w:val="HeaderChar"/>
    <w:uiPriority w:val="99"/>
    <w:unhideWhenUsed/>
    <w:rsid w:val="00A6588F"/>
    <w:pPr>
      <w:tabs>
        <w:tab w:val="center" w:pos="4513"/>
        <w:tab w:val="right" w:pos="9026"/>
      </w:tabs>
    </w:pPr>
  </w:style>
  <w:style w:type="character" w:customStyle="1" w:styleId="HeaderChar">
    <w:name w:val="Header Char"/>
    <w:basedOn w:val="DefaultParagraphFont"/>
    <w:link w:val="Header"/>
    <w:uiPriority w:val="99"/>
    <w:rsid w:val="00A6588F"/>
    <w:rPr>
      <w:rFonts w:ascii="TradeGothic" w:eastAsia="Times New Roman" w:hAnsi="TradeGothic" w:cs="Times New Roman"/>
      <w:kern w:val="0"/>
      <w:szCs w:val="20"/>
    </w:rPr>
  </w:style>
  <w:style w:type="paragraph" w:styleId="Footer">
    <w:name w:val="footer"/>
    <w:basedOn w:val="Normal"/>
    <w:link w:val="FooterChar"/>
    <w:uiPriority w:val="99"/>
    <w:unhideWhenUsed/>
    <w:rsid w:val="00A6588F"/>
    <w:pPr>
      <w:tabs>
        <w:tab w:val="center" w:pos="4513"/>
        <w:tab w:val="right" w:pos="9026"/>
      </w:tabs>
    </w:pPr>
  </w:style>
  <w:style w:type="character" w:customStyle="1" w:styleId="FooterChar">
    <w:name w:val="Footer Char"/>
    <w:basedOn w:val="DefaultParagraphFont"/>
    <w:link w:val="Footer"/>
    <w:uiPriority w:val="99"/>
    <w:rsid w:val="00A6588F"/>
    <w:rPr>
      <w:rFonts w:ascii="TradeGothic" w:eastAsia="Times New Roman" w:hAnsi="TradeGothic"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wales/land-transaction-tax-higher-residential-rates-proposals-to-amend-the-refund-and-exception-ru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 (ETC - Welsh Treasury)</dc:creator>
  <cp:keywords/>
  <dc:description/>
  <cp:lastModifiedBy>Oxenham, James (OFM - Cabinet Division)</cp:lastModifiedBy>
  <cp:revision>2</cp:revision>
  <dcterms:created xsi:type="dcterms:W3CDTF">2024-06-18T11:18:00Z</dcterms:created>
  <dcterms:modified xsi:type="dcterms:W3CDTF">2024-06-18T11:18:00Z</dcterms:modified>
</cp:coreProperties>
</file>