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3E501" w14:textId="77777777" w:rsidR="00A845A9" w:rsidRPr="00B57637" w:rsidRDefault="000C5E9B" w:rsidP="00806E47">
      <w:pPr>
        <w:rPr>
          <w:color w:val="FF0000"/>
        </w:rPr>
      </w:pPr>
      <w:r w:rsidRPr="00B57637">
        <w:rPr>
          <w:noProof/>
          <w:lang w:eastAsia="en-GB"/>
        </w:rPr>
        <mc:AlternateContent>
          <mc:Choice Requires="wps">
            <w:drawing>
              <wp:inline distT="0" distB="0" distL="0" distR="0" wp14:anchorId="147C9D8A" wp14:editId="26DA4CC6">
                <wp:extent cx="5302800" cy="0"/>
                <wp:effectExtent l="0" t="0" r="31750" b="19050"/>
                <wp:docPr id="2" name="Line 5" descr="Bol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28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EF7B339" id="Line 5" o:spid="_x0000_s1026" alt="Bold Line" style="visibility:visible;mso-wrap-style:square;mso-left-percent:-10001;mso-top-percent:-10001;mso-position-horizontal:absolute;mso-position-horizontal-relative:char;mso-position-vertical:absolute;mso-position-vertical-relative:line;mso-left-percent:-10001;mso-top-percent:-10001" from="0,0" to="41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" strokecolor="red" strokeweight="1.5pt">
                <w10:anchorlock/>
              </v:line>
            </w:pict>
          </mc:Fallback>
        </mc:AlternateContent>
      </w:r>
    </w:p>
    <w:p w14:paraId="0493E502" w14:textId="77777777" w:rsidR="00A845A9" w:rsidRPr="00B57637" w:rsidRDefault="003B3D64" w:rsidP="002420AE">
      <w:pPr>
        <w:pStyle w:val="Heading1"/>
        <w:spacing w:before="120"/>
        <w:jc w:val="center"/>
        <w:rPr>
          <w:rFonts w:ascii="Times New Roman" w:hAnsi="Times New Roman"/>
          <w:color w:val="FF0000"/>
          <w:sz w:val="40"/>
          <w:szCs w:val="40"/>
        </w:rPr>
      </w:pPr>
      <w:r w:rsidRPr="00B57637">
        <w:rPr>
          <w:rFonts w:ascii="Times New Roman" w:hAnsi="Times New Roman"/>
          <w:color w:val="FF0000"/>
          <w:sz w:val="40"/>
          <w:szCs w:val="40"/>
        </w:rPr>
        <w:t xml:space="preserve">WRITTEN </w:t>
      </w:r>
      <w:r w:rsidR="00A845A9" w:rsidRPr="00B57637">
        <w:rPr>
          <w:rFonts w:ascii="Times New Roman" w:hAnsi="Times New Roman"/>
          <w:color w:val="FF0000"/>
          <w:sz w:val="40"/>
          <w:szCs w:val="40"/>
        </w:rPr>
        <w:t xml:space="preserve">STATEMENT </w:t>
      </w:r>
    </w:p>
    <w:p w14:paraId="0493E503" w14:textId="77777777" w:rsidR="00A845A9" w:rsidRPr="00B57637" w:rsidRDefault="00A845A9" w:rsidP="00A845A9">
      <w:pPr>
        <w:pStyle w:val="Heading1"/>
        <w:jc w:val="center"/>
        <w:rPr>
          <w:rFonts w:ascii="Times New Roman" w:hAnsi="Times New Roman"/>
          <w:color w:val="FF0000"/>
          <w:sz w:val="40"/>
          <w:szCs w:val="40"/>
        </w:rPr>
      </w:pPr>
      <w:r w:rsidRPr="00B57637">
        <w:rPr>
          <w:rFonts w:ascii="Times New Roman" w:hAnsi="Times New Roman"/>
          <w:color w:val="FF0000"/>
          <w:sz w:val="40"/>
          <w:szCs w:val="40"/>
        </w:rPr>
        <w:t>BY</w:t>
      </w:r>
    </w:p>
    <w:p w14:paraId="0493E504" w14:textId="77777777" w:rsidR="00A845A9" w:rsidRPr="00B57637" w:rsidRDefault="00A845A9" w:rsidP="00A845A9">
      <w:pPr>
        <w:pStyle w:val="Heading1"/>
        <w:jc w:val="center"/>
        <w:rPr>
          <w:rFonts w:ascii="Times New Roman" w:hAnsi="Times New Roman"/>
          <w:color w:val="FF0000"/>
          <w:sz w:val="40"/>
          <w:szCs w:val="40"/>
        </w:rPr>
      </w:pPr>
      <w:r w:rsidRPr="00B57637">
        <w:rPr>
          <w:rFonts w:ascii="Times New Roman" w:hAnsi="Times New Roman"/>
          <w:color w:val="FF0000"/>
          <w:sz w:val="40"/>
          <w:szCs w:val="40"/>
        </w:rPr>
        <w:t>THE WELSH GOVERNMENT</w:t>
      </w:r>
    </w:p>
    <w:p w14:paraId="0493E505" w14:textId="77777777" w:rsidR="00A845A9" w:rsidRPr="00B57637" w:rsidRDefault="000C5E9B" w:rsidP="00806E47">
      <w:pPr>
        <w:rPr>
          <w:color w:val="FF0000"/>
        </w:rPr>
      </w:pPr>
      <w:r w:rsidRPr="00B57637">
        <w:rPr>
          <w:noProof/>
          <w:lang w:eastAsia="en-GB"/>
        </w:rPr>
        <mc:AlternateContent>
          <mc:Choice Requires="wps">
            <w:drawing>
              <wp:inline distT="0" distB="0" distL="0" distR="0" wp14:anchorId="6FBEDD44" wp14:editId="6A5686C2">
                <wp:extent cx="5302800" cy="0"/>
                <wp:effectExtent l="0" t="0" r="31750" b="19050"/>
                <wp:docPr id="1" name="Line 6" descr="Bol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28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D36D666" id="Line 6" o:spid="_x0000_s1026" alt="Bold Line" style="visibility:visible;mso-wrap-style:square;mso-left-percent:-10001;mso-top-percent:-10001;mso-position-horizontal:absolute;mso-position-horizontal-relative:char;mso-position-vertical:absolute;mso-position-vertical-relative:line;mso-left-percent:-10001;mso-top-percent:-10001" from="0,0" to="41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" strokecolor="red" strokeweight="1.5pt">
                <w10:anchorlock/>
              </v:line>
            </w:pict>
          </mc:Fallback>
        </mc:AlternateContent>
      </w:r>
    </w:p>
    <w:tbl>
      <w:tblPr>
        <w:tblW w:w="0" w:type="auto"/>
        <w:tblLayout w:type="fixed"/>
        <w:tblLook w:val="0000" w:firstRow="0" w:lastRow="0" w:firstColumn="0" w:lastColumn="0" w:noHBand="0" w:noVBand="0"/>
      </w:tblPr>
      <w:tblGrid>
        <w:gridCol w:w="1383"/>
        <w:gridCol w:w="7656"/>
      </w:tblGrid>
      <w:tr w:rsidR="00EA5290" w:rsidRPr="00B57637" w14:paraId="0493E50A" w14:textId="77777777" w:rsidTr="00B049B1">
        <w:tc>
          <w:tcPr>
            <w:tcW w:w="1383" w:type="dxa"/>
            <w:tcBorders>
              <w:top w:val="nil"/>
              <w:left w:val="nil"/>
              <w:bottom w:val="nil"/>
              <w:right w:val="nil"/>
            </w:tcBorders>
            <w:vAlign w:val="center"/>
          </w:tcPr>
          <w:p w14:paraId="0493E506" w14:textId="77777777" w:rsidR="00EA5290" w:rsidRPr="00B57637" w:rsidRDefault="00EA5290" w:rsidP="00B049B1">
            <w:pPr>
              <w:spacing w:before="120" w:after="120"/>
              <w:rPr>
                <w:rFonts w:ascii="Arial" w:hAnsi="Arial" w:cs="Arial"/>
                <w:b/>
                <w:bCs/>
                <w:sz w:val="24"/>
                <w:szCs w:val="24"/>
              </w:rPr>
            </w:pPr>
          </w:p>
          <w:p w14:paraId="0493E507" w14:textId="77777777" w:rsidR="00EA5290" w:rsidRPr="00B57637" w:rsidRDefault="00560F1F" w:rsidP="00B049B1">
            <w:pPr>
              <w:spacing w:before="120" w:after="120"/>
              <w:rPr>
                <w:rFonts w:ascii="Arial" w:hAnsi="Arial" w:cs="Arial"/>
                <w:b/>
                <w:bCs/>
                <w:sz w:val="24"/>
                <w:szCs w:val="24"/>
              </w:rPr>
            </w:pPr>
            <w:r w:rsidRPr="00B57637">
              <w:rPr>
                <w:rFonts w:ascii="Arial" w:hAnsi="Arial" w:cs="Arial"/>
                <w:b/>
                <w:bCs/>
                <w:sz w:val="24"/>
                <w:szCs w:val="24"/>
              </w:rPr>
              <w:t>TITLE</w:t>
            </w:r>
            <w:r w:rsidR="00EA5290" w:rsidRPr="00B57637">
              <w:rPr>
                <w:rFonts w:ascii="Arial" w:hAnsi="Arial" w:cs="Arial"/>
                <w:b/>
                <w:bCs/>
                <w:sz w:val="24"/>
                <w:szCs w:val="24"/>
              </w:rPr>
              <w:t xml:space="preserve"> </w:t>
            </w:r>
          </w:p>
        </w:tc>
        <w:tc>
          <w:tcPr>
            <w:tcW w:w="7656" w:type="dxa"/>
            <w:tcBorders>
              <w:top w:val="nil"/>
              <w:left w:val="nil"/>
              <w:bottom w:val="nil"/>
              <w:right w:val="nil"/>
            </w:tcBorders>
            <w:vAlign w:val="center"/>
          </w:tcPr>
          <w:p w14:paraId="0493E508" w14:textId="77777777" w:rsidR="00EA5290" w:rsidRPr="00B57637" w:rsidRDefault="00EA5290" w:rsidP="00B049B1">
            <w:pPr>
              <w:spacing w:before="120" w:after="120"/>
              <w:rPr>
                <w:rFonts w:ascii="Arial" w:hAnsi="Arial" w:cs="Arial"/>
                <w:b/>
                <w:bCs/>
                <w:sz w:val="24"/>
                <w:szCs w:val="24"/>
              </w:rPr>
            </w:pPr>
          </w:p>
          <w:p w14:paraId="0493E509" w14:textId="4CA3E71B" w:rsidR="00EA5290" w:rsidRPr="00B57637" w:rsidRDefault="003D6721" w:rsidP="00154A32">
            <w:pPr>
              <w:spacing w:before="120" w:after="120"/>
              <w:rPr>
                <w:rFonts w:ascii="Arial" w:hAnsi="Arial" w:cs="Arial"/>
                <w:b/>
                <w:bCs/>
                <w:sz w:val="24"/>
                <w:szCs w:val="24"/>
              </w:rPr>
            </w:pPr>
            <w:r>
              <w:rPr>
                <w:rFonts w:ascii="Arial" w:hAnsi="Arial" w:cs="Arial"/>
                <w:b/>
                <w:bCs/>
                <w:sz w:val="24"/>
                <w:szCs w:val="24"/>
              </w:rPr>
              <w:t xml:space="preserve">Final </w:t>
            </w:r>
            <w:r w:rsidR="00154A32">
              <w:rPr>
                <w:rFonts w:ascii="Arial" w:hAnsi="Arial" w:cs="Arial"/>
                <w:b/>
                <w:bCs/>
                <w:sz w:val="24"/>
                <w:szCs w:val="24"/>
              </w:rPr>
              <w:t>Local Government Settlement 2021-22</w:t>
            </w:r>
          </w:p>
        </w:tc>
      </w:tr>
      <w:tr w:rsidR="00EA5290" w:rsidRPr="00B57637" w14:paraId="0493E50D" w14:textId="77777777" w:rsidTr="00B049B1">
        <w:tc>
          <w:tcPr>
            <w:tcW w:w="1383" w:type="dxa"/>
            <w:tcBorders>
              <w:top w:val="nil"/>
              <w:left w:val="nil"/>
              <w:bottom w:val="nil"/>
              <w:right w:val="nil"/>
            </w:tcBorders>
            <w:vAlign w:val="center"/>
          </w:tcPr>
          <w:p w14:paraId="0493E50B" w14:textId="77777777" w:rsidR="00EA5290" w:rsidRPr="00B57637" w:rsidRDefault="00560F1F" w:rsidP="00B049B1">
            <w:pPr>
              <w:spacing w:before="120" w:after="120"/>
              <w:rPr>
                <w:rFonts w:ascii="Arial" w:hAnsi="Arial" w:cs="Arial"/>
                <w:b/>
                <w:bCs/>
                <w:sz w:val="24"/>
                <w:szCs w:val="24"/>
              </w:rPr>
            </w:pPr>
            <w:r w:rsidRPr="00B57637">
              <w:rPr>
                <w:rFonts w:ascii="Arial" w:hAnsi="Arial" w:cs="Arial"/>
                <w:b/>
                <w:bCs/>
                <w:sz w:val="24"/>
                <w:szCs w:val="24"/>
              </w:rPr>
              <w:t>DATE</w:t>
            </w:r>
            <w:r w:rsidR="00EA5290" w:rsidRPr="00B57637">
              <w:rPr>
                <w:rFonts w:ascii="Arial" w:hAnsi="Arial" w:cs="Arial"/>
                <w:b/>
                <w:bCs/>
                <w:sz w:val="24"/>
                <w:szCs w:val="24"/>
              </w:rPr>
              <w:t xml:space="preserve"> </w:t>
            </w:r>
          </w:p>
        </w:tc>
        <w:tc>
          <w:tcPr>
            <w:tcW w:w="7656" w:type="dxa"/>
            <w:tcBorders>
              <w:top w:val="nil"/>
              <w:left w:val="nil"/>
              <w:bottom w:val="nil"/>
              <w:right w:val="nil"/>
            </w:tcBorders>
            <w:vAlign w:val="center"/>
          </w:tcPr>
          <w:p w14:paraId="0493E50C" w14:textId="64DC1B59" w:rsidR="00EA5290" w:rsidRPr="00B57637" w:rsidRDefault="003D6721" w:rsidP="003D6721">
            <w:pPr>
              <w:spacing w:before="120" w:after="120"/>
              <w:rPr>
                <w:rFonts w:ascii="Arial" w:hAnsi="Arial" w:cs="Arial"/>
                <w:b/>
                <w:bCs/>
                <w:sz w:val="24"/>
                <w:szCs w:val="24"/>
              </w:rPr>
            </w:pPr>
            <w:r>
              <w:rPr>
                <w:rFonts w:ascii="Arial" w:hAnsi="Arial" w:cs="Arial"/>
                <w:b/>
                <w:bCs/>
                <w:sz w:val="24"/>
                <w:szCs w:val="24"/>
              </w:rPr>
              <w:t>2</w:t>
            </w:r>
            <w:r w:rsidR="00642687" w:rsidRPr="00B57637">
              <w:rPr>
                <w:rFonts w:ascii="Arial" w:hAnsi="Arial" w:cs="Arial"/>
                <w:b/>
                <w:bCs/>
                <w:sz w:val="24"/>
                <w:szCs w:val="24"/>
              </w:rPr>
              <w:t xml:space="preserve"> </w:t>
            </w:r>
            <w:r>
              <w:rPr>
                <w:rFonts w:ascii="Arial" w:hAnsi="Arial" w:cs="Arial"/>
                <w:b/>
                <w:bCs/>
                <w:sz w:val="24"/>
                <w:szCs w:val="24"/>
              </w:rPr>
              <w:t>March</w:t>
            </w:r>
            <w:r w:rsidR="00642687" w:rsidRPr="00B57637">
              <w:rPr>
                <w:rFonts w:ascii="Arial" w:hAnsi="Arial" w:cs="Arial"/>
                <w:b/>
                <w:bCs/>
                <w:sz w:val="24"/>
                <w:szCs w:val="24"/>
              </w:rPr>
              <w:t xml:space="preserve"> 202</w:t>
            </w:r>
            <w:r>
              <w:rPr>
                <w:rFonts w:ascii="Arial" w:hAnsi="Arial" w:cs="Arial"/>
                <w:b/>
                <w:bCs/>
                <w:sz w:val="24"/>
                <w:szCs w:val="24"/>
              </w:rPr>
              <w:t>1</w:t>
            </w:r>
          </w:p>
        </w:tc>
      </w:tr>
      <w:tr w:rsidR="00EA5290" w:rsidRPr="00B57637" w14:paraId="0493E510" w14:textId="77777777" w:rsidTr="00B049B1">
        <w:tc>
          <w:tcPr>
            <w:tcW w:w="1383" w:type="dxa"/>
            <w:tcBorders>
              <w:top w:val="nil"/>
              <w:left w:val="nil"/>
              <w:bottom w:val="nil"/>
              <w:right w:val="nil"/>
            </w:tcBorders>
            <w:vAlign w:val="center"/>
          </w:tcPr>
          <w:p w14:paraId="0493E50E" w14:textId="77777777" w:rsidR="00EA5290" w:rsidRPr="00B57637" w:rsidRDefault="00560F1F" w:rsidP="00B049B1">
            <w:pPr>
              <w:spacing w:before="120" w:after="120"/>
              <w:rPr>
                <w:rFonts w:ascii="Arial" w:hAnsi="Arial" w:cs="Arial"/>
                <w:b/>
                <w:bCs/>
                <w:sz w:val="24"/>
                <w:szCs w:val="24"/>
              </w:rPr>
            </w:pPr>
            <w:r w:rsidRPr="00B57637">
              <w:rPr>
                <w:rFonts w:ascii="Arial" w:hAnsi="Arial" w:cs="Arial"/>
                <w:b/>
                <w:bCs/>
                <w:sz w:val="24"/>
                <w:szCs w:val="24"/>
              </w:rPr>
              <w:t>BY</w:t>
            </w:r>
          </w:p>
        </w:tc>
        <w:tc>
          <w:tcPr>
            <w:tcW w:w="7656" w:type="dxa"/>
            <w:tcBorders>
              <w:top w:val="nil"/>
              <w:left w:val="nil"/>
              <w:bottom w:val="nil"/>
              <w:right w:val="nil"/>
            </w:tcBorders>
            <w:vAlign w:val="center"/>
          </w:tcPr>
          <w:p w14:paraId="0493E50F" w14:textId="6234FD7D" w:rsidR="00EA5290" w:rsidRPr="00B57637" w:rsidRDefault="005F32A4" w:rsidP="001E53BF">
            <w:pPr>
              <w:spacing w:before="120" w:after="120"/>
              <w:rPr>
                <w:rFonts w:ascii="Arial" w:hAnsi="Arial" w:cs="Arial"/>
                <w:b/>
                <w:bCs/>
                <w:sz w:val="24"/>
                <w:szCs w:val="24"/>
              </w:rPr>
            </w:pPr>
            <w:r w:rsidRPr="00B57637">
              <w:rPr>
                <w:rFonts w:ascii="Arial" w:hAnsi="Arial" w:cs="Arial"/>
                <w:b/>
                <w:bCs/>
                <w:sz w:val="24"/>
                <w:szCs w:val="24"/>
              </w:rPr>
              <w:t>Julie James MS, Minister for Housing and Local Government</w:t>
            </w:r>
          </w:p>
        </w:tc>
      </w:tr>
    </w:tbl>
    <w:p w14:paraId="0493E511" w14:textId="77777777" w:rsidR="00EA5290" w:rsidRPr="00B57637" w:rsidRDefault="00EA5290" w:rsidP="00EA5290"/>
    <w:p w14:paraId="3C13DD02" w14:textId="356CE75B" w:rsidR="00154A32" w:rsidRDefault="00734F34" w:rsidP="00154A32">
      <w:pPr>
        <w:keepLines/>
        <w:rPr>
          <w:rFonts w:ascii="Arial" w:hAnsi="Arial" w:cs="Arial"/>
          <w:sz w:val="24"/>
          <w:szCs w:val="24"/>
        </w:rPr>
      </w:pPr>
      <w:r>
        <w:rPr>
          <w:rFonts w:ascii="Arial" w:hAnsi="Arial" w:cs="Arial"/>
          <w:sz w:val="24"/>
          <w:szCs w:val="24"/>
        </w:rPr>
        <w:t xml:space="preserve">Following today’s announcement of the Welsh Government’s Final Budget, </w:t>
      </w:r>
      <w:r w:rsidR="00154A32">
        <w:rPr>
          <w:rFonts w:ascii="Arial" w:hAnsi="Arial" w:cs="Arial"/>
          <w:sz w:val="24"/>
          <w:szCs w:val="24"/>
        </w:rPr>
        <w:t xml:space="preserve">I am publishing </w:t>
      </w:r>
      <w:r w:rsidR="00154A32" w:rsidRPr="005807FA">
        <w:rPr>
          <w:rFonts w:ascii="Arial" w:hAnsi="Arial" w:cs="Arial"/>
          <w:sz w:val="24"/>
          <w:szCs w:val="24"/>
        </w:rPr>
        <w:t>details of the core funding allocatio</w:t>
      </w:r>
      <w:r w:rsidR="00154A32">
        <w:rPr>
          <w:rFonts w:ascii="Arial" w:hAnsi="Arial" w:cs="Arial"/>
          <w:sz w:val="24"/>
          <w:szCs w:val="24"/>
        </w:rPr>
        <w:t xml:space="preserve">ns for </w:t>
      </w:r>
      <w:r w:rsidR="002B3ED8">
        <w:rPr>
          <w:rFonts w:ascii="Arial" w:hAnsi="Arial" w:cs="Arial"/>
          <w:sz w:val="24"/>
          <w:szCs w:val="24"/>
        </w:rPr>
        <w:t>unitary</w:t>
      </w:r>
      <w:r w:rsidR="00154A32">
        <w:rPr>
          <w:rFonts w:ascii="Arial" w:hAnsi="Arial" w:cs="Arial"/>
          <w:sz w:val="24"/>
          <w:szCs w:val="24"/>
        </w:rPr>
        <w:t xml:space="preserve"> authorities for the forthcoming financial year through the </w:t>
      </w:r>
      <w:r>
        <w:rPr>
          <w:rFonts w:ascii="Arial" w:hAnsi="Arial" w:cs="Arial"/>
          <w:sz w:val="24"/>
          <w:szCs w:val="24"/>
        </w:rPr>
        <w:t>Final</w:t>
      </w:r>
      <w:r w:rsidR="002B3ED8" w:rsidRPr="00584873">
        <w:rPr>
          <w:rFonts w:ascii="Arial" w:hAnsi="Arial" w:cs="Arial"/>
          <w:sz w:val="24"/>
          <w:szCs w:val="24"/>
        </w:rPr>
        <w:t xml:space="preserve"> Local Government Revenue and Capital Settlements for </w:t>
      </w:r>
      <w:r w:rsidR="002B3ED8">
        <w:rPr>
          <w:rFonts w:ascii="Arial" w:hAnsi="Arial" w:cs="Arial"/>
          <w:sz w:val="24"/>
          <w:szCs w:val="24"/>
        </w:rPr>
        <w:t>2021-22</w:t>
      </w:r>
      <w:r w:rsidR="002B3ED8" w:rsidRPr="00584873">
        <w:rPr>
          <w:rFonts w:ascii="Arial" w:hAnsi="Arial" w:cs="Arial"/>
          <w:sz w:val="24"/>
          <w:szCs w:val="24"/>
        </w:rPr>
        <w:t xml:space="preserve"> </w:t>
      </w:r>
      <w:r w:rsidR="002B3ED8">
        <w:rPr>
          <w:rFonts w:ascii="Arial" w:hAnsi="Arial" w:cs="Arial"/>
          <w:sz w:val="24"/>
          <w:szCs w:val="24"/>
        </w:rPr>
        <w:t>(the Settlement)</w:t>
      </w:r>
      <w:r w:rsidR="00154A32">
        <w:rPr>
          <w:rFonts w:ascii="Arial" w:hAnsi="Arial" w:cs="Arial"/>
          <w:sz w:val="24"/>
          <w:szCs w:val="24"/>
        </w:rPr>
        <w:t>.</w:t>
      </w:r>
    </w:p>
    <w:p w14:paraId="2DF453BE" w14:textId="113D7705" w:rsidR="00734F34" w:rsidRDefault="00734F34" w:rsidP="00154A32">
      <w:pPr>
        <w:keepLines/>
        <w:rPr>
          <w:rFonts w:ascii="Arial" w:hAnsi="Arial" w:cs="Arial"/>
          <w:sz w:val="24"/>
          <w:szCs w:val="24"/>
        </w:rPr>
      </w:pPr>
    </w:p>
    <w:p w14:paraId="1A888846" w14:textId="52DB380C" w:rsidR="00154A32" w:rsidRDefault="00734F34" w:rsidP="00154A32">
      <w:pPr>
        <w:keepLines/>
        <w:rPr>
          <w:rFonts w:ascii="Arial" w:hAnsi="Arial" w:cs="Arial"/>
          <w:sz w:val="24"/>
          <w:szCs w:val="24"/>
        </w:rPr>
      </w:pPr>
      <w:r w:rsidRPr="00734F34">
        <w:rPr>
          <w:rFonts w:ascii="Arial" w:hAnsi="Arial" w:cs="Arial"/>
          <w:sz w:val="24"/>
          <w:szCs w:val="24"/>
        </w:rPr>
        <w:t xml:space="preserve">In preparing the final </w:t>
      </w:r>
      <w:r w:rsidR="009D20CA">
        <w:rPr>
          <w:rFonts w:ascii="Arial" w:hAnsi="Arial" w:cs="Arial"/>
          <w:sz w:val="24"/>
          <w:szCs w:val="24"/>
        </w:rPr>
        <w:t>S</w:t>
      </w:r>
      <w:r w:rsidRPr="00734F34">
        <w:rPr>
          <w:rFonts w:ascii="Arial" w:hAnsi="Arial" w:cs="Arial"/>
          <w:sz w:val="24"/>
          <w:szCs w:val="24"/>
        </w:rPr>
        <w:t>ettlement, I have given careful consideration to the responses I received to the consultati</w:t>
      </w:r>
      <w:r>
        <w:rPr>
          <w:rFonts w:ascii="Arial" w:hAnsi="Arial" w:cs="Arial"/>
          <w:sz w:val="24"/>
          <w:szCs w:val="24"/>
        </w:rPr>
        <w:t>on on the provisional settlement, which closed on 9 February</w:t>
      </w:r>
      <w:r w:rsidRPr="00734F34">
        <w:rPr>
          <w:rFonts w:ascii="Arial" w:hAnsi="Arial" w:cs="Arial"/>
          <w:sz w:val="24"/>
          <w:szCs w:val="24"/>
        </w:rPr>
        <w:t xml:space="preserve">. </w:t>
      </w:r>
      <w:r>
        <w:rPr>
          <w:rFonts w:ascii="Arial" w:hAnsi="Arial" w:cs="Arial"/>
          <w:sz w:val="24"/>
          <w:szCs w:val="24"/>
        </w:rPr>
        <w:t xml:space="preserve">The responses did not identify any matters which required a change of approach for the final </w:t>
      </w:r>
      <w:r w:rsidR="009D20CA">
        <w:rPr>
          <w:rFonts w:ascii="Arial" w:hAnsi="Arial" w:cs="Arial"/>
          <w:sz w:val="24"/>
          <w:szCs w:val="24"/>
        </w:rPr>
        <w:t>S</w:t>
      </w:r>
      <w:r>
        <w:rPr>
          <w:rFonts w:ascii="Arial" w:hAnsi="Arial" w:cs="Arial"/>
          <w:sz w:val="24"/>
          <w:szCs w:val="24"/>
        </w:rPr>
        <w:t xml:space="preserve">ettlement.  </w:t>
      </w:r>
      <w:r w:rsidR="00333D0C">
        <w:rPr>
          <w:rFonts w:ascii="Arial" w:hAnsi="Arial" w:cs="Arial"/>
          <w:sz w:val="24"/>
          <w:szCs w:val="24"/>
        </w:rPr>
        <w:t>F</w:t>
      </w:r>
      <w:r w:rsidR="00A141AE">
        <w:rPr>
          <w:rFonts w:ascii="Arial" w:hAnsi="Arial" w:cs="Arial"/>
          <w:sz w:val="24"/>
          <w:szCs w:val="24"/>
        </w:rPr>
        <w:t xml:space="preserve">or 2021-22 </w:t>
      </w:r>
      <w:r w:rsidR="00154A32" w:rsidRPr="005807FA">
        <w:rPr>
          <w:rFonts w:ascii="Arial" w:hAnsi="Arial" w:cs="Arial"/>
          <w:sz w:val="24"/>
          <w:szCs w:val="24"/>
        </w:rPr>
        <w:t xml:space="preserve">local authorities will receive </w:t>
      </w:r>
      <w:r w:rsidR="00154A32">
        <w:rPr>
          <w:rFonts w:ascii="Arial" w:hAnsi="Arial" w:cs="Arial"/>
          <w:sz w:val="24"/>
          <w:szCs w:val="24"/>
        </w:rPr>
        <w:t>£4.</w:t>
      </w:r>
      <w:r w:rsidR="002B3ED8">
        <w:rPr>
          <w:rFonts w:ascii="Arial" w:hAnsi="Arial" w:cs="Arial"/>
          <w:sz w:val="24"/>
          <w:szCs w:val="24"/>
        </w:rPr>
        <w:t>65</w:t>
      </w:r>
      <w:r w:rsidR="00154A32" w:rsidRPr="005807FA">
        <w:rPr>
          <w:rFonts w:ascii="Arial" w:hAnsi="Arial" w:cs="Arial"/>
          <w:sz w:val="24"/>
          <w:szCs w:val="24"/>
        </w:rPr>
        <w:t xml:space="preserve"> billion from the Welsh Government in core revenue funding and non-domestic rates to spend on delivering key services</w:t>
      </w:r>
      <w:r w:rsidR="00154A32">
        <w:rPr>
          <w:rFonts w:ascii="Arial" w:hAnsi="Arial" w:cs="Arial"/>
          <w:sz w:val="24"/>
          <w:szCs w:val="24"/>
        </w:rPr>
        <w:t>.</w:t>
      </w:r>
      <w:r w:rsidR="00901629">
        <w:rPr>
          <w:rFonts w:ascii="Arial" w:hAnsi="Arial" w:cs="Arial"/>
          <w:sz w:val="24"/>
          <w:szCs w:val="24"/>
        </w:rPr>
        <w:t xml:space="preserve"> </w:t>
      </w:r>
      <w:r w:rsidR="00901629" w:rsidRPr="005807FA">
        <w:rPr>
          <w:rFonts w:ascii="Arial" w:hAnsi="Arial" w:cs="Arial"/>
          <w:sz w:val="24"/>
          <w:szCs w:val="24"/>
        </w:rPr>
        <w:t xml:space="preserve">Adjusting for transfers, the core revenue funding for local government in </w:t>
      </w:r>
      <w:r w:rsidR="00901629">
        <w:rPr>
          <w:rFonts w:ascii="Arial" w:hAnsi="Arial" w:cs="Arial"/>
          <w:sz w:val="24"/>
          <w:szCs w:val="24"/>
        </w:rPr>
        <w:t>2021-22</w:t>
      </w:r>
      <w:r w:rsidR="00901629" w:rsidRPr="005807FA">
        <w:rPr>
          <w:rFonts w:ascii="Arial" w:hAnsi="Arial" w:cs="Arial"/>
          <w:sz w:val="24"/>
          <w:szCs w:val="24"/>
        </w:rPr>
        <w:t xml:space="preserve"> will </w:t>
      </w:r>
      <w:r w:rsidR="00901629">
        <w:rPr>
          <w:rFonts w:ascii="Arial" w:hAnsi="Arial" w:cs="Arial"/>
          <w:sz w:val="24"/>
          <w:szCs w:val="24"/>
        </w:rPr>
        <w:t>increase</w:t>
      </w:r>
      <w:r w:rsidR="00901629" w:rsidRPr="005807FA">
        <w:rPr>
          <w:rFonts w:ascii="Arial" w:hAnsi="Arial" w:cs="Arial"/>
          <w:sz w:val="24"/>
          <w:szCs w:val="24"/>
        </w:rPr>
        <w:t xml:space="preserve"> by </w:t>
      </w:r>
      <w:r w:rsidR="00901629">
        <w:rPr>
          <w:rFonts w:ascii="Arial" w:hAnsi="Arial" w:cs="Arial"/>
          <w:sz w:val="24"/>
          <w:szCs w:val="24"/>
        </w:rPr>
        <w:t>3.8</w:t>
      </w:r>
      <w:r w:rsidR="00901629" w:rsidRPr="005807FA">
        <w:rPr>
          <w:rFonts w:ascii="Arial" w:hAnsi="Arial" w:cs="Arial"/>
          <w:sz w:val="24"/>
          <w:szCs w:val="24"/>
        </w:rPr>
        <w:t xml:space="preserve">% on a like-for-like basis compared to </w:t>
      </w:r>
      <w:r w:rsidR="00901629">
        <w:rPr>
          <w:rFonts w:ascii="Arial" w:hAnsi="Arial" w:cs="Arial"/>
          <w:sz w:val="24"/>
          <w:szCs w:val="24"/>
        </w:rPr>
        <w:t>2020-21</w:t>
      </w:r>
      <w:r w:rsidR="00901629" w:rsidRPr="005807FA">
        <w:rPr>
          <w:rFonts w:ascii="Arial" w:hAnsi="Arial" w:cs="Arial"/>
          <w:sz w:val="24"/>
          <w:szCs w:val="24"/>
        </w:rPr>
        <w:t>.</w:t>
      </w:r>
      <w:r w:rsidR="00901629">
        <w:rPr>
          <w:rFonts w:ascii="Arial" w:hAnsi="Arial" w:cs="Arial"/>
          <w:sz w:val="24"/>
          <w:szCs w:val="24"/>
        </w:rPr>
        <w:t xml:space="preserve"> </w:t>
      </w:r>
    </w:p>
    <w:p w14:paraId="02E0A845" w14:textId="77777777" w:rsidR="00154A32" w:rsidRDefault="00154A32" w:rsidP="00154A32">
      <w:pPr>
        <w:keepLines/>
        <w:autoSpaceDE w:val="0"/>
        <w:autoSpaceDN w:val="0"/>
        <w:adjustRightInd w:val="0"/>
        <w:rPr>
          <w:rFonts w:ascii="Arial" w:hAnsi="Arial" w:cs="Arial"/>
          <w:iCs/>
          <w:sz w:val="24"/>
          <w:szCs w:val="24"/>
        </w:rPr>
      </w:pPr>
    </w:p>
    <w:p w14:paraId="7FA41370" w14:textId="28DC3B74" w:rsidR="00154A32" w:rsidRDefault="00154A32" w:rsidP="00154A32">
      <w:pPr>
        <w:keepLines/>
        <w:rPr>
          <w:rFonts w:ascii="Arial" w:hAnsi="Arial" w:cs="Arial"/>
          <w:sz w:val="24"/>
          <w:szCs w:val="24"/>
        </w:rPr>
      </w:pPr>
      <w:r>
        <w:rPr>
          <w:rFonts w:ascii="Arial" w:hAnsi="Arial" w:cs="Arial"/>
          <w:iCs/>
          <w:sz w:val="24"/>
          <w:szCs w:val="24"/>
        </w:rPr>
        <w:t xml:space="preserve">In addition to this, I am publishing information </w:t>
      </w:r>
      <w:r w:rsidRPr="00584873">
        <w:rPr>
          <w:rFonts w:ascii="Arial" w:hAnsi="Arial" w:cs="Arial"/>
          <w:sz w:val="24"/>
          <w:szCs w:val="24"/>
        </w:rPr>
        <w:t>on revenue and capital gra</w:t>
      </w:r>
      <w:r>
        <w:rPr>
          <w:rFonts w:ascii="Arial" w:hAnsi="Arial" w:cs="Arial"/>
          <w:sz w:val="24"/>
          <w:szCs w:val="24"/>
        </w:rPr>
        <w:t>nts planned for 202</w:t>
      </w:r>
      <w:r w:rsidR="002B3ED8">
        <w:rPr>
          <w:rFonts w:ascii="Arial" w:hAnsi="Arial" w:cs="Arial"/>
          <w:sz w:val="24"/>
          <w:szCs w:val="24"/>
        </w:rPr>
        <w:t>1</w:t>
      </w:r>
      <w:r>
        <w:rPr>
          <w:rFonts w:ascii="Arial" w:hAnsi="Arial" w:cs="Arial"/>
          <w:sz w:val="24"/>
          <w:szCs w:val="24"/>
        </w:rPr>
        <w:t>-2</w:t>
      </w:r>
      <w:r w:rsidR="002B3ED8">
        <w:rPr>
          <w:rFonts w:ascii="Arial" w:hAnsi="Arial" w:cs="Arial"/>
          <w:sz w:val="24"/>
          <w:szCs w:val="24"/>
        </w:rPr>
        <w:t>2</w:t>
      </w:r>
      <w:r>
        <w:rPr>
          <w:rFonts w:ascii="Arial" w:hAnsi="Arial" w:cs="Arial"/>
          <w:sz w:val="24"/>
          <w:szCs w:val="24"/>
        </w:rPr>
        <w:t xml:space="preserve">.  These amount to </w:t>
      </w:r>
      <w:r w:rsidR="00901629" w:rsidRPr="00BB7C62">
        <w:rPr>
          <w:rFonts w:ascii="Arial" w:hAnsi="Arial" w:cs="Arial"/>
          <w:sz w:val="24"/>
          <w:szCs w:val="24"/>
        </w:rPr>
        <w:t>over</w:t>
      </w:r>
      <w:r w:rsidRPr="00BB7C62">
        <w:rPr>
          <w:rFonts w:ascii="Arial" w:hAnsi="Arial" w:cs="Arial"/>
          <w:sz w:val="24"/>
          <w:szCs w:val="24"/>
        </w:rPr>
        <w:t xml:space="preserve"> £1 billion</w:t>
      </w:r>
      <w:r>
        <w:rPr>
          <w:rFonts w:ascii="Arial" w:hAnsi="Arial" w:cs="Arial"/>
          <w:sz w:val="24"/>
          <w:szCs w:val="24"/>
        </w:rPr>
        <w:t xml:space="preserve"> for revenue and over </w:t>
      </w:r>
      <w:r w:rsidRPr="005D5BBD">
        <w:rPr>
          <w:rFonts w:ascii="Arial" w:hAnsi="Arial" w:cs="Arial"/>
          <w:sz w:val="24"/>
          <w:szCs w:val="24"/>
        </w:rPr>
        <w:t>£</w:t>
      </w:r>
      <w:r w:rsidR="002B3ED8" w:rsidRPr="00BB7C62">
        <w:rPr>
          <w:rFonts w:ascii="Arial" w:hAnsi="Arial" w:cs="Arial"/>
          <w:sz w:val="24"/>
          <w:szCs w:val="24"/>
        </w:rPr>
        <w:t>7</w:t>
      </w:r>
      <w:r w:rsidR="003475F9" w:rsidRPr="00BB7C62">
        <w:rPr>
          <w:rFonts w:ascii="Arial" w:hAnsi="Arial" w:cs="Arial"/>
          <w:sz w:val="24"/>
          <w:szCs w:val="24"/>
        </w:rPr>
        <w:t>60</w:t>
      </w:r>
      <w:r>
        <w:rPr>
          <w:rFonts w:ascii="Arial" w:hAnsi="Arial" w:cs="Arial"/>
          <w:sz w:val="24"/>
          <w:szCs w:val="24"/>
        </w:rPr>
        <w:t xml:space="preserve"> million for capital</w:t>
      </w:r>
      <w:r w:rsidR="00901629">
        <w:rPr>
          <w:rFonts w:ascii="Arial" w:hAnsi="Arial" w:cs="Arial"/>
          <w:sz w:val="24"/>
          <w:szCs w:val="24"/>
        </w:rPr>
        <w:t>, with further grants to support local authorities through the pressures faced by the Coronavirus pandemic. We are</w:t>
      </w:r>
      <w:r>
        <w:rPr>
          <w:rFonts w:ascii="Arial" w:hAnsi="Arial" w:cs="Arial"/>
          <w:sz w:val="24"/>
          <w:szCs w:val="24"/>
        </w:rPr>
        <w:t xml:space="preserve"> providing these grant values </w:t>
      </w:r>
      <w:r w:rsidR="00901629">
        <w:rPr>
          <w:rFonts w:ascii="Arial" w:hAnsi="Arial" w:cs="Arial"/>
          <w:sz w:val="24"/>
          <w:szCs w:val="24"/>
        </w:rPr>
        <w:t xml:space="preserve">to enable </w:t>
      </w:r>
      <w:r>
        <w:rPr>
          <w:rFonts w:ascii="Arial" w:hAnsi="Arial" w:cs="Arial"/>
          <w:sz w:val="24"/>
          <w:szCs w:val="24"/>
        </w:rPr>
        <w:t xml:space="preserve">local authorities to plan their budgets efficiently. </w:t>
      </w:r>
    </w:p>
    <w:p w14:paraId="0EF167BA" w14:textId="5E24F37B" w:rsidR="00901629" w:rsidRDefault="00901629" w:rsidP="00154A32">
      <w:pPr>
        <w:keepLines/>
        <w:rPr>
          <w:rFonts w:ascii="Arial" w:hAnsi="Arial" w:cs="Arial"/>
          <w:sz w:val="24"/>
          <w:szCs w:val="24"/>
        </w:rPr>
      </w:pPr>
    </w:p>
    <w:p w14:paraId="1A9A8DB7" w14:textId="734DDF45" w:rsidR="00901629" w:rsidRDefault="00901629" w:rsidP="00901629">
      <w:pPr>
        <w:rPr>
          <w:rFonts w:ascii="Arial" w:hAnsi="Arial"/>
          <w:sz w:val="24"/>
        </w:rPr>
      </w:pPr>
      <w:r>
        <w:rPr>
          <w:rFonts w:ascii="Arial" w:hAnsi="Arial" w:cs="Arial"/>
          <w:sz w:val="24"/>
          <w:szCs w:val="24"/>
        </w:rPr>
        <w:t xml:space="preserve">I </w:t>
      </w:r>
      <w:r w:rsidR="00333D0C">
        <w:rPr>
          <w:rFonts w:ascii="Arial" w:hAnsi="Arial" w:cs="Arial"/>
          <w:sz w:val="24"/>
          <w:szCs w:val="24"/>
        </w:rPr>
        <w:t xml:space="preserve">have </w:t>
      </w:r>
      <w:r w:rsidR="00B33F15">
        <w:rPr>
          <w:rFonts w:ascii="Arial" w:hAnsi="Arial" w:cs="Arial"/>
          <w:sz w:val="24"/>
          <w:szCs w:val="24"/>
        </w:rPr>
        <w:t xml:space="preserve">allocated </w:t>
      </w:r>
      <w:r>
        <w:rPr>
          <w:rFonts w:ascii="Arial" w:hAnsi="Arial" w:cs="Arial"/>
          <w:sz w:val="24"/>
          <w:szCs w:val="24"/>
        </w:rPr>
        <w:t xml:space="preserve">all available funding into the provisional </w:t>
      </w:r>
      <w:r w:rsidR="009D20CA">
        <w:rPr>
          <w:rFonts w:ascii="Arial" w:hAnsi="Arial" w:cs="Arial"/>
          <w:sz w:val="24"/>
          <w:szCs w:val="24"/>
        </w:rPr>
        <w:t>s</w:t>
      </w:r>
      <w:r>
        <w:rPr>
          <w:rFonts w:ascii="Arial" w:hAnsi="Arial" w:cs="Arial"/>
          <w:sz w:val="24"/>
          <w:szCs w:val="24"/>
        </w:rPr>
        <w:t>ettlement to give as much early certainty as I could</w:t>
      </w:r>
      <w:r w:rsidR="004A2482">
        <w:rPr>
          <w:rFonts w:ascii="Arial" w:hAnsi="Arial" w:cs="Arial"/>
          <w:sz w:val="24"/>
          <w:szCs w:val="24"/>
        </w:rPr>
        <w:t xml:space="preserve"> to </w:t>
      </w:r>
      <w:r w:rsidR="00B33F15">
        <w:rPr>
          <w:rFonts w:ascii="Arial" w:hAnsi="Arial" w:cs="Arial"/>
          <w:sz w:val="24"/>
          <w:szCs w:val="24"/>
        </w:rPr>
        <w:t>authorities</w:t>
      </w:r>
      <w:r w:rsidR="004A2482">
        <w:rPr>
          <w:rFonts w:ascii="Arial" w:hAnsi="Arial" w:cs="Arial"/>
          <w:sz w:val="24"/>
          <w:szCs w:val="24"/>
        </w:rPr>
        <w:t>.</w:t>
      </w:r>
      <w:r>
        <w:rPr>
          <w:rFonts w:ascii="Arial" w:hAnsi="Arial" w:cs="Arial"/>
          <w:sz w:val="24"/>
          <w:szCs w:val="24"/>
        </w:rPr>
        <w:t xml:space="preserve">  </w:t>
      </w:r>
      <w:r w:rsidR="004A2482">
        <w:rPr>
          <w:rFonts w:ascii="Arial" w:hAnsi="Arial" w:cs="Arial"/>
          <w:sz w:val="24"/>
          <w:szCs w:val="24"/>
        </w:rPr>
        <w:t>I</w:t>
      </w:r>
      <w:r>
        <w:rPr>
          <w:rFonts w:ascii="Arial" w:hAnsi="Arial" w:cs="Arial"/>
          <w:sz w:val="24"/>
          <w:szCs w:val="24"/>
        </w:rPr>
        <w:t xml:space="preserve"> have no further funding currently </w:t>
      </w:r>
      <w:r w:rsidR="004A2482">
        <w:rPr>
          <w:rFonts w:ascii="Arial" w:hAnsi="Arial" w:cs="Arial"/>
          <w:sz w:val="24"/>
          <w:szCs w:val="24"/>
        </w:rPr>
        <w:t>available</w:t>
      </w:r>
      <w:r w:rsidR="00333D0C">
        <w:rPr>
          <w:rFonts w:ascii="Arial" w:hAnsi="Arial" w:cs="Arial"/>
          <w:sz w:val="24"/>
          <w:szCs w:val="24"/>
        </w:rPr>
        <w:t>.  I am not therefore providing for a funding floor since a</w:t>
      </w:r>
      <w:r w:rsidR="004A2482">
        <w:rPr>
          <w:rFonts w:ascii="Arial" w:hAnsi="Arial" w:cs="Arial"/>
          <w:sz w:val="24"/>
          <w:szCs w:val="24"/>
        </w:rPr>
        <w:t>n</w:t>
      </w:r>
      <w:r w:rsidR="004A2482">
        <w:rPr>
          <w:rFonts w:ascii="Arial" w:hAnsi="Arial"/>
          <w:sz w:val="24"/>
        </w:rPr>
        <w:t xml:space="preserve">y floor </w:t>
      </w:r>
      <w:r w:rsidR="00333D0C">
        <w:rPr>
          <w:rFonts w:ascii="Arial" w:hAnsi="Arial"/>
          <w:sz w:val="24"/>
        </w:rPr>
        <w:t xml:space="preserve">which </w:t>
      </w:r>
      <w:r w:rsidR="00BF2A36">
        <w:rPr>
          <w:rFonts w:ascii="Arial" w:hAnsi="Arial"/>
          <w:sz w:val="24"/>
        </w:rPr>
        <w:t>would be</w:t>
      </w:r>
      <w:r w:rsidRPr="001D26E6">
        <w:rPr>
          <w:rFonts w:ascii="Arial" w:hAnsi="Arial"/>
          <w:sz w:val="24"/>
        </w:rPr>
        <w:t xml:space="preserve"> put in place would</w:t>
      </w:r>
      <w:r w:rsidR="004A2482">
        <w:rPr>
          <w:rFonts w:ascii="Arial" w:hAnsi="Arial"/>
          <w:sz w:val="24"/>
        </w:rPr>
        <w:t xml:space="preserve"> have to </w:t>
      </w:r>
      <w:r w:rsidR="00050946">
        <w:rPr>
          <w:rFonts w:ascii="Arial" w:hAnsi="Arial"/>
          <w:sz w:val="24"/>
        </w:rPr>
        <w:t>redistribute funding.</w:t>
      </w:r>
    </w:p>
    <w:p w14:paraId="5C9E4329" w14:textId="3E8362C6" w:rsidR="00BF2A36" w:rsidRDefault="00BF2A36" w:rsidP="00901629">
      <w:pPr>
        <w:rPr>
          <w:rFonts w:ascii="Arial" w:hAnsi="Arial"/>
          <w:sz w:val="24"/>
        </w:rPr>
      </w:pPr>
    </w:p>
    <w:p w14:paraId="4A9D9644" w14:textId="36624DC3" w:rsidR="00901629" w:rsidRDefault="00823043" w:rsidP="00154A32">
      <w:pPr>
        <w:keepLines/>
        <w:rPr>
          <w:rFonts w:ascii="Arial" w:hAnsi="Arial" w:cs="Arial"/>
          <w:sz w:val="24"/>
          <w:szCs w:val="24"/>
        </w:rPr>
      </w:pPr>
      <w:r>
        <w:rPr>
          <w:rFonts w:ascii="Arial" w:hAnsi="Arial" w:cs="Arial"/>
          <w:sz w:val="24"/>
          <w:szCs w:val="24"/>
        </w:rPr>
        <w:t>As set out in today</w:t>
      </w:r>
      <w:r w:rsidR="00EB1ED0">
        <w:rPr>
          <w:rFonts w:ascii="Arial" w:hAnsi="Arial" w:cs="Arial"/>
          <w:sz w:val="24"/>
          <w:szCs w:val="24"/>
        </w:rPr>
        <w:t xml:space="preserve">‘s </w:t>
      </w:r>
      <w:r>
        <w:rPr>
          <w:rFonts w:ascii="Arial" w:hAnsi="Arial" w:cs="Arial"/>
          <w:sz w:val="24"/>
          <w:szCs w:val="24"/>
        </w:rPr>
        <w:t>budget</w:t>
      </w:r>
      <w:r w:rsidR="00B86660">
        <w:rPr>
          <w:rFonts w:ascii="Arial" w:hAnsi="Arial" w:cs="Arial"/>
          <w:sz w:val="24"/>
          <w:szCs w:val="24"/>
        </w:rPr>
        <w:t>,</w:t>
      </w:r>
      <w:r>
        <w:rPr>
          <w:rFonts w:ascii="Arial" w:hAnsi="Arial" w:cs="Arial"/>
          <w:sz w:val="24"/>
          <w:szCs w:val="24"/>
        </w:rPr>
        <w:t xml:space="preserve"> the Welsh Government’s funding priorities continue to be health and local government services.</w:t>
      </w:r>
      <w:r>
        <w:rPr>
          <w:rFonts w:ascii="Arial" w:hAnsi="Arial"/>
          <w:sz w:val="24"/>
        </w:rPr>
        <w:t xml:space="preserve"> </w:t>
      </w:r>
      <w:r w:rsidR="00BF2A36">
        <w:rPr>
          <w:rFonts w:ascii="Arial" w:hAnsi="Arial"/>
          <w:sz w:val="24"/>
        </w:rPr>
        <w:t xml:space="preserve">This is undoubtedly a good </w:t>
      </w:r>
      <w:r w:rsidR="009D20CA">
        <w:rPr>
          <w:rFonts w:ascii="Arial" w:hAnsi="Arial"/>
          <w:sz w:val="24"/>
        </w:rPr>
        <w:t>S</w:t>
      </w:r>
      <w:r w:rsidR="00BF2A36">
        <w:rPr>
          <w:rFonts w:ascii="Arial" w:hAnsi="Arial"/>
          <w:sz w:val="24"/>
        </w:rPr>
        <w:t>ettlement for local government; however, I am aware a second</w:t>
      </w:r>
      <w:r w:rsidR="00BF2A36" w:rsidRPr="002A64BC">
        <w:rPr>
          <w:rFonts w:ascii="Arial" w:hAnsi="Arial"/>
          <w:sz w:val="24"/>
        </w:rPr>
        <w:t xml:space="preserve"> good settlement </w:t>
      </w:r>
      <w:r w:rsidR="00BF2A36">
        <w:rPr>
          <w:rFonts w:ascii="Arial" w:hAnsi="Arial"/>
          <w:sz w:val="24"/>
        </w:rPr>
        <w:t xml:space="preserve">in as many years </w:t>
      </w:r>
      <w:r w:rsidR="00BF2A36" w:rsidRPr="002A64BC">
        <w:rPr>
          <w:rFonts w:ascii="Arial" w:hAnsi="Arial"/>
          <w:sz w:val="24"/>
        </w:rPr>
        <w:t xml:space="preserve">does not make up for </w:t>
      </w:r>
      <w:r w:rsidR="00BF2A36">
        <w:rPr>
          <w:rFonts w:ascii="Arial" w:hAnsi="Arial"/>
          <w:sz w:val="24"/>
        </w:rPr>
        <w:t>10 years</w:t>
      </w:r>
      <w:r w:rsidR="00BF2A36" w:rsidRPr="002A64BC">
        <w:rPr>
          <w:rFonts w:ascii="Arial" w:hAnsi="Arial"/>
          <w:sz w:val="24"/>
        </w:rPr>
        <w:t xml:space="preserve"> of the UK government</w:t>
      </w:r>
      <w:r w:rsidR="00BF2A36">
        <w:rPr>
          <w:rFonts w:ascii="Arial" w:hAnsi="Arial"/>
          <w:sz w:val="24"/>
        </w:rPr>
        <w:t>’s</w:t>
      </w:r>
      <w:r w:rsidR="00BF2A36" w:rsidRPr="002A64BC">
        <w:rPr>
          <w:rFonts w:ascii="Arial" w:hAnsi="Arial"/>
          <w:sz w:val="24"/>
        </w:rPr>
        <w:t xml:space="preserve"> austerity agenda</w:t>
      </w:r>
      <w:r>
        <w:rPr>
          <w:rFonts w:ascii="Arial" w:hAnsi="Arial"/>
          <w:sz w:val="24"/>
        </w:rPr>
        <w:t xml:space="preserve">. </w:t>
      </w:r>
    </w:p>
    <w:p w14:paraId="76A55283" w14:textId="3F5B5F0E" w:rsidR="002B3ED8" w:rsidRDefault="002B3ED8" w:rsidP="00154A32">
      <w:pPr>
        <w:keepLines/>
        <w:rPr>
          <w:rFonts w:ascii="Arial" w:hAnsi="Arial" w:cs="Arial"/>
          <w:sz w:val="24"/>
          <w:szCs w:val="24"/>
        </w:rPr>
      </w:pPr>
    </w:p>
    <w:p w14:paraId="79A6BB5D" w14:textId="534AC0F7" w:rsidR="00EE2CC3" w:rsidRDefault="00D00203" w:rsidP="00823043">
      <w:pPr>
        <w:keepLines/>
        <w:rPr>
          <w:rFonts w:ascii="Arial" w:hAnsi="Arial" w:cs="Arial"/>
          <w:sz w:val="24"/>
          <w:szCs w:val="24"/>
        </w:rPr>
      </w:pPr>
      <w:r>
        <w:rPr>
          <w:rFonts w:ascii="Arial" w:hAnsi="Arial" w:cs="Arial"/>
          <w:sz w:val="24"/>
          <w:szCs w:val="24"/>
        </w:rPr>
        <w:lastRenderedPageBreak/>
        <w:t>I</w:t>
      </w:r>
      <w:r w:rsidR="002B3ED8" w:rsidRPr="00B7576F">
        <w:rPr>
          <w:rFonts w:ascii="Arial" w:hAnsi="Arial" w:cs="Arial"/>
          <w:sz w:val="24"/>
          <w:szCs w:val="24"/>
        </w:rPr>
        <w:t xml:space="preserve"> know </w:t>
      </w:r>
      <w:r w:rsidR="002B3ED8">
        <w:rPr>
          <w:rFonts w:ascii="Arial" w:hAnsi="Arial" w:cs="Arial"/>
          <w:sz w:val="24"/>
          <w:szCs w:val="24"/>
        </w:rPr>
        <w:t xml:space="preserve">local government has been facing </w:t>
      </w:r>
      <w:r w:rsidR="002B3ED8" w:rsidRPr="00B7576F">
        <w:rPr>
          <w:rFonts w:ascii="Arial" w:hAnsi="Arial" w:cs="Arial"/>
          <w:sz w:val="24"/>
          <w:szCs w:val="24"/>
        </w:rPr>
        <w:t>significant pressures,</w:t>
      </w:r>
      <w:r w:rsidR="002B3ED8">
        <w:rPr>
          <w:rFonts w:ascii="Arial" w:hAnsi="Arial" w:cs="Arial"/>
          <w:sz w:val="24"/>
          <w:szCs w:val="24"/>
        </w:rPr>
        <w:t xml:space="preserve"> particularly ari</w:t>
      </w:r>
      <w:r w:rsidR="00823043">
        <w:rPr>
          <w:rFonts w:ascii="Arial" w:hAnsi="Arial" w:cs="Arial"/>
          <w:sz w:val="24"/>
          <w:szCs w:val="24"/>
        </w:rPr>
        <w:t>sing from the COVID-19 pandemic. As part of the budget, t</w:t>
      </w:r>
      <w:r w:rsidR="00EE2CC3" w:rsidRPr="00527FBB">
        <w:rPr>
          <w:rFonts w:ascii="Arial" w:hAnsi="Arial" w:cs="Arial"/>
          <w:sz w:val="24"/>
          <w:szCs w:val="24"/>
        </w:rPr>
        <w:t xml:space="preserve">he Finance Minister </w:t>
      </w:r>
      <w:r w:rsidR="006124AC">
        <w:rPr>
          <w:rFonts w:ascii="Arial" w:hAnsi="Arial" w:cs="Arial"/>
          <w:sz w:val="24"/>
          <w:szCs w:val="24"/>
        </w:rPr>
        <w:t xml:space="preserve">announced </w:t>
      </w:r>
      <w:r w:rsidR="00823043">
        <w:rPr>
          <w:rFonts w:ascii="Arial" w:hAnsi="Arial" w:cs="Arial"/>
          <w:sz w:val="24"/>
          <w:szCs w:val="24"/>
        </w:rPr>
        <w:t>that</w:t>
      </w:r>
      <w:r w:rsidR="006124AC">
        <w:rPr>
          <w:rFonts w:ascii="Arial" w:hAnsi="Arial" w:cs="Arial"/>
          <w:sz w:val="24"/>
          <w:szCs w:val="24"/>
        </w:rPr>
        <w:t xml:space="preserve"> we have extended the Local Government Hardship Fund </w:t>
      </w:r>
      <w:r w:rsidR="006124AC" w:rsidRPr="006124AC">
        <w:rPr>
          <w:rFonts w:ascii="Arial" w:hAnsi="Arial" w:cs="Arial"/>
          <w:sz w:val="24"/>
          <w:szCs w:val="24"/>
        </w:rPr>
        <w:t>for 6 months</w:t>
      </w:r>
      <w:r w:rsidR="00B86660">
        <w:rPr>
          <w:rFonts w:ascii="Arial" w:hAnsi="Arial" w:cs="Arial"/>
          <w:sz w:val="24"/>
          <w:szCs w:val="24"/>
        </w:rPr>
        <w:t>,</w:t>
      </w:r>
      <w:r w:rsidR="00823043">
        <w:rPr>
          <w:rFonts w:ascii="Arial" w:hAnsi="Arial" w:cs="Arial"/>
          <w:sz w:val="24"/>
          <w:szCs w:val="24"/>
        </w:rPr>
        <w:t xml:space="preserve"> </w:t>
      </w:r>
      <w:r w:rsidR="00B86660">
        <w:rPr>
          <w:rFonts w:ascii="Arial" w:hAnsi="Arial" w:cs="Arial"/>
          <w:sz w:val="24"/>
          <w:szCs w:val="24"/>
        </w:rPr>
        <w:t>w</w:t>
      </w:r>
      <w:r>
        <w:rPr>
          <w:rFonts w:ascii="Arial" w:hAnsi="Arial" w:cs="Arial"/>
          <w:sz w:val="24"/>
          <w:szCs w:val="24"/>
        </w:rPr>
        <w:t xml:space="preserve">ith </w:t>
      </w:r>
      <w:r w:rsidR="00B33F15">
        <w:rPr>
          <w:rFonts w:ascii="Arial" w:hAnsi="Arial" w:cs="Arial"/>
          <w:sz w:val="24"/>
          <w:szCs w:val="24"/>
        </w:rPr>
        <w:t>£206</w:t>
      </w:r>
      <w:r>
        <w:rPr>
          <w:rFonts w:ascii="Arial" w:hAnsi="Arial" w:cs="Arial"/>
          <w:sz w:val="24"/>
          <w:szCs w:val="24"/>
        </w:rPr>
        <w:t xml:space="preserve">m </w:t>
      </w:r>
      <w:r w:rsidR="006124AC" w:rsidRPr="006124AC">
        <w:rPr>
          <w:rFonts w:ascii="Arial" w:hAnsi="Arial" w:cs="Arial"/>
          <w:sz w:val="24"/>
          <w:szCs w:val="24"/>
        </w:rPr>
        <w:t>to support</w:t>
      </w:r>
      <w:r w:rsidR="00823043">
        <w:rPr>
          <w:rFonts w:ascii="Arial" w:hAnsi="Arial" w:cs="Arial"/>
          <w:sz w:val="24"/>
          <w:szCs w:val="24"/>
        </w:rPr>
        <w:t xml:space="preserve"> councils </w:t>
      </w:r>
      <w:r w:rsidR="00EB1ED0">
        <w:rPr>
          <w:rFonts w:ascii="Arial" w:hAnsi="Arial" w:cs="Arial"/>
          <w:sz w:val="24"/>
          <w:szCs w:val="24"/>
        </w:rPr>
        <w:t>with ongoing additional costs and loss of income due to the pandemic.</w:t>
      </w:r>
      <w:r w:rsidR="006124AC">
        <w:rPr>
          <w:rFonts w:ascii="Arial" w:hAnsi="Arial" w:cs="Arial"/>
          <w:sz w:val="24"/>
          <w:szCs w:val="24"/>
        </w:rPr>
        <w:t xml:space="preserve"> </w:t>
      </w:r>
    </w:p>
    <w:p w14:paraId="31FD649F" w14:textId="77777777" w:rsidR="006124AC" w:rsidRDefault="006124AC" w:rsidP="00EE2CC3">
      <w:pPr>
        <w:rPr>
          <w:rFonts w:ascii="Arial" w:hAnsi="Arial" w:cs="Arial"/>
          <w:sz w:val="24"/>
          <w:szCs w:val="24"/>
        </w:rPr>
      </w:pPr>
    </w:p>
    <w:p w14:paraId="3F3585C8" w14:textId="17BC1EAC" w:rsidR="00EB1ED0" w:rsidRDefault="006124AC" w:rsidP="009540E7">
      <w:pPr>
        <w:keepLines/>
        <w:rPr>
          <w:rFonts w:ascii="Arial" w:hAnsi="Arial" w:cs="Arial"/>
          <w:sz w:val="24"/>
          <w:szCs w:val="24"/>
        </w:rPr>
      </w:pPr>
      <w:r>
        <w:rPr>
          <w:rFonts w:ascii="Arial" w:hAnsi="Arial" w:cs="Arial"/>
          <w:sz w:val="24"/>
          <w:szCs w:val="24"/>
        </w:rPr>
        <w:t>In setting the overall Settlement at this level the Government has responded to the negative impact of the pandemic on Non Domestic Rate (NDR) collection</w:t>
      </w:r>
      <w:r w:rsidR="00EB1ED0">
        <w:rPr>
          <w:rFonts w:ascii="Arial" w:hAnsi="Arial" w:cs="Arial"/>
          <w:sz w:val="24"/>
          <w:szCs w:val="24"/>
        </w:rPr>
        <w:t xml:space="preserve"> </w:t>
      </w:r>
      <w:r w:rsidR="00EB1ED0" w:rsidRPr="00EB1ED0">
        <w:rPr>
          <w:rFonts w:ascii="Arial" w:hAnsi="Arial" w:cs="Arial"/>
          <w:sz w:val="24"/>
          <w:szCs w:val="24"/>
        </w:rPr>
        <w:t xml:space="preserve">and the freeze of the NDR multiplier by a compensating rise in the revenue support grant element of the </w:t>
      </w:r>
      <w:r w:rsidR="009D20CA">
        <w:rPr>
          <w:rFonts w:ascii="Arial" w:hAnsi="Arial" w:cs="Arial"/>
          <w:sz w:val="24"/>
          <w:szCs w:val="24"/>
        </w:rPr>
        <w:t>S</w:t>
      </w:r>
      <w:r w:rsidR="00EB1ED0" w:rsidRPr="00EB1ED0">
        <w:rPr>
          <w:rFonts w:ascii="Arial" w:hAnsi="Arial" w:cs="Arial"/>
          <w:sz w:val="24"/>
          <w:szCs w:val="24"/>
        </w:rPr>
        <w:t>ettlement</w:t>
      </w:r>
      <w:r w:rsidR="009540E7">
        <w:rPr>
          <w:rFonts w:ascii="Arial" w:hAnsi="Arial" w:cs="Arial"/>
          <w:sz w:val="24"/>
          <w:szCs w:val="24"/>
        </w:rPr>
        <w:t>.</w:t>
      </w:r>
    </w:p>
    <w:p w14:paraId="26F16C66" w14:textId="77777777" w:rsidR="009540E7" w:rsidRDefault="009540E7" w:rsidP="009540E7">
      <w:pPr>
        <w:keepLines/>
        <w:rPr>
          <w:szCs w:val="23"/>
        </w:rPr>
      </w:pPr>
    </w:p>
    <w:p w14:paraId="45434284" w14:textId="0FCA3695" w:rsidR="00154A32" w:rsidRPr="005807FA" w:rsidRDefault="00154A32" w:rsidP="00154A32">
      <w:pPr>
        <w:keepLines/>
        <w:rPr>
          <w:rFonts w:ascii="Arial" w:hAnsi="Arial" w:cs="Arial"/>
          <w:sz w:val="24"/>
          <w:szCs w:val="24"/>
        </w:rPr>
      </w:pPr>
      <w:r w:rsidRPr="005807FA">
        <w:rPr>
          <w:rFonts w:ascii="Arial" w:hAnsi="Arial" w:cs="Arial"/>
          <w:sz w:val="24"/>
          <w:szCs w:val="24"/>
        </w:rPr>
        <w:t xml:space="preserve">Attached to this statement is a summary table setting out the </w:t>
      </w:r>
      <w:r w:rsidR="002F34B1">
        <w:rPr>
          <w:rFonts w:ascii="Arial" w:hAnsi="Arial" w:cs="Arial"/>
          <w:sz w:val="24"/>
          <w:szCs w:val="24"/>
        </w:rPr>
        <w:t>S</w:t>
      </w:r>
      <w:r w:rsidRPr="005807FA">
        <w:rPr>
          <w:rFonts w:ascii="Arial" w:hAnsi="Arial" w:cs="Arial"/>
          <w:sz w:val="24"/>
          <w:szCs w:val="24"/>
        </w:rPr>
        <w:t>ettlement allocations by authority.</w:t>
      </w:r>
      <w:r>
        <w:rPr>
          <w:rFonts w:ascii="Arial" w:hAnsi="Arial" w:cs="Arial"/>
          <w:sz w:val="24"/>
          <w:szCs w:val="24"/>
        </w:rPr>
        <w:t xml:space="preserve"> </w:t>
      </w:r>
      <w:r w:rsidRPr="005807FA">
        <w:rPr>
          <w:rFonts w:ascii="Arial" w:hAnsi="Arial" w:cs="Arial"/>
          <w:sz w:val="24"/>
          <w:szCs w:val="24"/>
        </w:rPr>
        <w:t xml:space="preserve">The allocations are derived using the formula </w:t>
      </w:r>
      <w:r w:rsidR="00B33F15">
        <w:rPr>
          <w:rFonts w:ascii="Arial" w:hAnsi="Arial" w:cs="Arial"/>
          <w:sz w:val="24"/>
          <w:szCs w:val="24"/>
        </w:rPr>
        <w:t xml:space="preserve">developed and </w:t>
      </w:r>
      <w:r w:rsidRPr="005807FA">
        <w:rPr>
          <w:rFonts w:ascii="Arial" w:hAnsi="Arial" w:cs="Arial"/>
          <w:sz w:val="24"/>
          <w:szCs w:val="24"/>
        </w:rPr>
        <w:t>agreed</w:t>
      </w:r>
      <w:r w:rsidR="00B33F15">
        <w:rPr>
          <w:rFonts w:ascii="Arial" w:hAnsi="Arial" w:cs="Arial"/>
          <w:sz w:val="24"/>
          <w:szCs w:val="24"/>
        </w:rPr>
        <w:t xml:space="preserve"> in partnership</w:t>
      </w:r>
      <w:r w:rsidRPr="005807FA">
        <w:rPr>
          <w:rFonts w:ascii="Arial" w:hAnsi="Arial" w:cs="Arial"/>
          <w:sz w:val="24"/>
          <w:szCs w:val="24"/>
        </w:rPr>
        <w:t xml:space="preserve"> with local government.  As a result of the formula and related data, the table shows the range of the funding allocations</w:t>
      </w:r>
      <w:r w:rsidR="00F4068B">
        <w:rPr>
          <w:rFonts w:ascii="Arial" w:hAnsi="Arial" w:cs="Arial"/>
          <w:sz w:val="24"/>
          <w:szCs w:val="24"/>
        </w:rPr>
        <w:t xml:space="preserve">, from a </w:t>
      </w:r>
      <w:r w:rsidR="00EE2CC3">
        <w:rPr>
          <w:rFonts w:ascii="Arial" w:hAnsi="Arial" w:cs="Arial"/>
          <w:sz w:val="24"/>
          <w:szCs w:val="24"/>
        </w:rPr>
        <w:t>2.0</w:t>
      </w:r>
      <w:r>
        <w:rPr>
          <w:rFonts w:ascii="Arial" w:hAnsi="Arial" w:cs="Arial"/>
          <w:sz w:val="24"/>
          <w:szCs w:val="24"/>
        </w:rPr>
        <w:t>% increase over the 20</w:t>
      </w:r>
      <w:r w:rsidR="00F4068B">
        <w:rPr>
          <w:rFonts w:ascii="Arial" w:hAnsi="Arial" w:cs="Arial"/>
          <w:sz w:val="24"/>
          <w:szCs w:val="24"/>
        </w:rPr>
        <w:t>20</w:t>
      </w:r>
      <w:r>
        <w:rPr>
          <w:rFonts w:ascii="Arial" w:hAnsi="Arial" w:cs="Arial"/>
          <w:sz w:val="24"/>
          <w:szCs w:val="24"/>
        </w:rPr>
        <w:t>-2</w:t>
      </w:r>
      <w:r w:rsidR="00F4068B">
        <w:rPr>
          <w:rFonts w:ascii="Arial" w:hAnsi="Arial" w:cs="Arial"/>
          <w:sz w:val="24"/>
          <w:szCs w:val="24"/>
        </w:rPr>
        <w:t xml:space="preserve">1 settlement </w:t>
      </w:r>
      <w:r w:rsidR="00F4068B" w:rsidRPr="00EE2CC3">
        <w:rPr>
          <w:rFonts w:ascii="Arial" w:hAnsi="Arial" w:cs="Arial"/>
          <w:sz w:val="24"/>
          <w:szCs w:val="24"/>
        </w:rPr>
        <w:t>to a 5.6</w:t>
      </w:r>
      <w:r w:rsidRPr="00EE2CC3">
        <w:rPr>
          <w:rFonts w:ascii="Arial" w:hAnsi="Arial" w:cs="Arial"/>
          <w:sz w:val="24"/>
          <w:szCs w:val="24"/>
        </w:rPr>
        <w:t>%</w:t>
      </w:r>
      <w:r>
        <w:rPr>
          <w:rFonts w:ascii="Arial" w:hAnsi="Arial" w:cs="Arial"/>
          <w:sz w:val="24"/>
          <w:szCs w:val="24"/>
        </w:rPr>
        <w:t xml:space="preserve"> increase.</w:t>
      </w:r>
    </w:p>
    <w:p w14:paraId="405B8B88" w14:textId="77777777" w:rsidR="00154A32" w:rsidRPr="005807FA" w:rsidRDefault="00154A32" w:rsidP="00154A32">
      <w:pPr>
        <w:keepLines/>
        <w:rPr>
          <w:rFonts w:ascii="Arial" w:hAnsi="Arial" w:cs="Arial"/>
          <w:color w:val="FF0000"/>
          <w:sz w:val="24"/>
          <w:szCs w:val="24"/>
        </w:rPr>
      </w:pPr>
    </w:p>
    <w:p w14:paraId="1304C87C" w14:textId="0AE449DA" w:rsidR="00154A32" w:rsidRPr="005807FA" w:rsidRDefault="002420AE" w:rsidP="00154A32">
      <w:pPr>
        <w:keepLines/>
        <w:rPr>
          <w:rFonts w:ascii="Arial" w:hAnsi="Arial" w:cs="Arial"/>
          <w:sz w:val="24"/>
          <w:szCs w:val="24"/>
        </w:rPr>
      </w:pPr>
      <w:hyperlink r:id="rId12" w:history="1">
        <w:r w:rsidR="00154A32" w:rsidRPr="002420AE">
          <w:rPr>
            <w:rStyle w:val="Hyperlink"/>
            <w:rFonts w:ascii="Arial" w:hAnsi="Arial" w:cs="Arial"/>
            <w:sz w:val="24"/>
            <w:szCs w:val="24"/>
          </w:rPr>
          <w:t xml:space="preserve">Further details on the </w:t>
        </w:r>
        <w:r w:rsidR="002F34B1" w:rsidRPr="002420AE">
          <w:rPr>
            <w:rStyle w:val="Hyperlink"/>
            <w:rFonts w:ascii="Arial" w:hAnsi="Arial" w:cs="Arial"/>
            <w:sz w:val="24"/>
            <w:szCs w:val="24"/>
          </w:rPr>
          <w:t>S</w:t>
        </w:r>
        <w:r w:rsidR="00154A32" w:rsidRPr="002420AE">
          <w:rPr>
            <w:rStyle w:val="Hyperlink"/>
            <w:rFonts w:ascii="Arial" w:hAnsi="Arial" w:cs="Arial"/>
            <w:sz w:val="24"/>
            <w:szCs w:val="24"/>
          </w:rPr>
          <w:t>ettlement will be sent to all local authorities and published on the Welsh Government’s website</w:t>
        </w:r>
      </w:hyperlink>
      <w:r>
        <w:rPr>
          <w:rFonts w:ascii="Arial" w:hAnsi="Arial" w:cs="Arial"/>
          <w:sz w:val="24"/>
          <w:szCs w:val="24"/>
        </w:rPr>
        <w:t>.</w:t>
      </w:r>
    </w:p>
    <w:p w14:paraId="398BFBFD" w14:textId="77777777" w:rsidR="00154A32" w:rsidRPr="005807FA" w:rsidRDefault="00154A32" w:rsidP="00154A32">
      <w:pPr>
        <w:keepLines/>
        <w:rPr>
          <w:rFonts w:ascii="Arial" w:hAnsi="Arial" w:cs="Arial"/>
          <w:sz w:val="24"/>
          <w:szCs w:val="24"/>
        </w:rPr>
      </w:pPr>
    </w:p>
    <w:p w14:paraId="4D164822" w14:textId="374ADDEB" w:rsidR="00F4068B" w:rsidRDefault="00F4068B" w:rsidP="00F4068B">
      <w:pPr>
        <w:autoSpaceDE w:val="0"/>
        <w:autoSpaceDN w:val="0"/>
        <w:adjustRightInd w:val="0"/>
        <w:rPr>
          <w:rFonts w:ascii="Arial" w:hAnsi="Arial" w:cs="Arial"/>
          <w:sz w:val="24"/>
          <w:szCs w:val="24"/>
        </w:rPr>
      </w:pPr>
      <w:bookmarkStart w:id="0" w:name="_GoBack"/>
      <w:bookmarkEnd w:id="0"/>
      <w:r w:rsidRPr="001D4E04">
        <w:rPr>
          <w:rFonts w:ascii="Arial" w:hAnsi="Arial" w:cs="Arial"/>
          <w:sz w:val="24"/>
          <w:szCs w:val="24"/>
        </w:rPr>
        <w:t>General capital funding for 2021-22 will be set at £198 million</w:t>
      </w:r>
      <w:r>
        <w:rPr>
          <w:rFonts w:ascii="Arial" w:hAnsi="Arial" w:cs="Arial"/>
          <w:sz w:val="24"/>
          <w:szCs w:val="24"/>
        </w:rPr>
        <w:t xml:space="preserve">.  </w:t>
      </w:r>
      <w:r w:rsidR="00333D0C">
        <w:rPr>
          <w:rFonts w:ascii="Arial" w:hAnsi="Arial" w:cs="Arial"/>
          <w:sz w:val="24"/>
          <w:szCs w:val="24"/>
        </w:rPr>
        <w:t xml:space="preserve">This includes </w:t>
      </w:r>
      <w:r w:rsidRPr="001D4E04">
        <w:rPr>
          <w:rFonts w:ascii="Arial" w:hAnsi="Arial" w:cs="Arial"/>
          <w:sz w:val="24"/>
          <w:szCs w:val="24"/>
        </w:rPr>
        <w:t>£20 million for the public highways refurbishment grant</w:t>
      </w:r>
      <w:r w:rsidR="00333D0C">
        <w:rPr>
          <w:rFonts w:ascii="Arial" w:hAnsi="Arial" w:cs="Arial"/>
          <w:sz w:val="24"/>
          <w:szCs w:val="24"/>
        </w:rPr>
        <w:t xml:space="preserve"> and </w:t>
      </w:r>
      <w:r w:rsidR="00EB1ED0">
        <w:rPr>
          <w:rFonts w:ascii="Arial" w:hAnsi="Arial" w:cs="Arial"/>
          <w:sz w:val="24"/>
          <w:szCs w:val="24"/>
        </w:rPr>
        <w:t xml:space="preserve">a continuation of </w:t>
      </w:r>
      <w:r w:rsidR="00333D0C">
        <w:rPr>
          <w:rFonts w:ascii="Arial" w:hAnsi="Arial" w:cs="Arial"/>
          <w:sz w:val="24"/>
          <w:szCs w:val="24"/>
        </w:rPr>
        <w:t xml:space="preserve">an additional </w:t>
      </w:r>
      <w:r w:rsidR="00EB1ED0">
        <w:rPr>
          <w:rFonts w:ascii="Arial" w:hAnsi="Arial" w:cs="Arial"/>
          <w:sz w:val="24"/>
          <w:szCs w:val="24"/>
        </w:rPr>
        <w:t xml:space="preserve">£35m </w:t>
      </w:r>
      <w:r w:rsidR="00333D0C">
        <w:rPr>
          <w:rFonts w:ascii="Arial" w:hAnsi="Arial" w:cs="Arial"/>
          <w:sz w:val="24"/>
          <w:szCs w:val="24"/>
        </w:rPr>
        <w:t>provided for in the budget for 2020-2021</w:t>
      </w:r>
      <w:r w:rsidR="00EB1ED0">
        <w:rPr>
          <w:rFonts w:ascii="Arial" w:hAnsi="Arial" w:cs="Arial"/>
          <w:sz w:val="24"/>
          <w:szCs w:val="24"/>
        </w:rPr>
        <w:t>.</w:t>
      </w:r>
      <w:r w:rsidR="00E018E3">
        <w:rPr>
          <w:rFonts w:ascii="Arial" w:hAnsi="Arial" w:cs="Arial"/>
          <w:sz w:val="24"/>
          <w:szCs w:val="24"/>
        </w:rPr>
        <w:t xml:space="preserve"> This </w:t>
      </w:r>
      <w:r w:rsidRPr="001D4E04">
        <w:rPr>
          <w:rFonts w:ascii="Arial" w:hAnsi="Arial" w:cs="Arial"/>
          <w:sz w:val="24"/>
          <w:szCs w:val="24"/>
        </w:rPr>
        <w:t xml:space="preserve">will </w:t>
      </w:r>
      <w:r w:rsidR="00E018E3">
        <w:rPr>
          <w:rFonts w:ascii="Arial" w:hAnsi="Arial" w:cs="Arial"/>
          <w:sz w:val="24"/>
          <w:szCs w:val="24"/>
        </w:rPr>
        <w:t xml:space="preserve">help </w:t>
      </w:r>
      <w:r w:rsidRPr="001D4E04">
        <w:rPr>
          <w:rFonts w:ascii="Arial" w:hAnsi="Arial" w:cs="Arial"/>
          <w:sz w:val="24"/>
          <w:szCs w:val="24"/>
        </w:rPr>
        <w:t xml:space="preserve">enable </w:t>
      </w:r>
      <w:r w:rsidR="00B3328A">
        <w:rPr>
          <w:rFonts w:ascii="Arial" w:hAnsi="Arial" w:cs="Arial"/>
          <w:sz w:val="24"/>
          <w:szCs w:val="24"/>
        </w:rPr>
        <w:t>a</w:t>
      </w:r>
      <w:r w:rsidR="00531BC4">
        <w:rPr>
          <w:rFonts w:ascii="Arial" w:hAnsi="Arial" w:cs="Arial"/>
          <w:sz w:val="24"/>
          <w:szCs w:val="24"/>
        </w:rPr>
        <w:t xml:space="preserve">uthorities to </w:t>
      </w:r>
      <w:r w:rsidR="00B3328A">
        <w:rPr>
          <w:rFonts w:ascii="Arial" w:hAnsi="Arial" w:cs="Arial"/>
          <w:sz w:val="24"/>
          <w:szCs w:val="24"/>
        </w:rPr>
        <w:t>continue</w:t>
      </w:r>
      <w:r w:rsidR="00531BC4">
        <w:rPr>
          <w:rFonts w:ascii="Arial" w:hAnsi="Arial" w:cs="Arial"/>
          <w:sz w:val="24"/>
          <w:szCs w:val="24"/>
        </w:rPr>
        <w:t xml:space="preserve"> </w:t>
      </w:r>
      <w:r w:rsidRPr="001D4E04">
        <w:rPr>
          <w:rFonts w:ascii="Arial" w:hAnsi="Arial" w:cs="Arial"/>
          <w:sz w:val="24"/>
          <w:szCs w:val="24"/>
        </w:rPr>
        <w:t>to respond to our joint priorit</w:t>
      </w:r>
      <w:r w:rsidR="00B86660">
        <w:rPr>
          <w:rFonts w:ascii="Arial" w:hAnsi="Arial" w:cs="Arial"/>
          <w:sz w:val="24"/>
          <w:szCs w:val="24"/>
        </w:rPr>
        <w:t>ies</w:t>
      </w:r>
      <w:r w:rsidR="00531BC4">
        <w:rPr>
          <w:rFonts w:ascii="Arial" w:hAnsi="Arial" w:cs="Arial"/>
          <w:sz w:val="24"/>
          <w:szCs w:val="24"/>
        </w:rPr>
        <w:t xml:space="preserve"> of </w:t>
      </w:r>
      <w:r w:rsidRPr="001D4E04">
        <w:rPr>
          <w:rFonts w:ascii="Arial" w:hAnsi="Arial" w:cs="Arial"/>
          <w:sz w:val="24"/>
          <w:szCs w:val="24"/>
        </w:rPr>
        <w:t>decarbonisation</w:t>
      </w:r>
      <w:r>
        <w:rPr>
          <w:rFonts w:ascii="Arial" w:hAnsi="Arial" w:cs="Arial"/>
          <w:sz w:val="24"/>
          <w:szCs w:val="24"/>
        </w:rPr>
        <w:t>,</w:t>
      </w:r>
      <w:r w:rsidR="00531BC4">
        <w:rPr>
          <w:rFonts w:ascii="Arial" w:hAnsi="Arial" w:cs="Arial"/>
          <w:sz w:val="24"/>
          <w:szCs w:val="24"/>
        </w:rPr>
        <w:t xml:space="preserve"> </w:t>
      </w:r>
      <w:r w:rsidR="00E018E3">
        <w:rPr>
          <w:rFonts w:ascii="Arial" w:hAnsi="Arial" w:cs="Arial"/>
          <w:sz w:val="24"/>
          <w:szCs w:val="24"/>
        </w:rPr>
        <w:t>the climate emergency</w:t>
      </w:r>
      <w:r>
        <w:rPr>
          <w:rFonts w:ascii="Arial" w:hAnsi="Arial" w:cs="Arial"/>
          <w:sz w:val="24"/>
          <w:szCs w:val="24"/>
        </w:rPr>
        <w:t xml:space="preserve"> and economic recovery following Covid-19.</w:t>
      </w:r>
    </w:p>
    <w:p w14:paraId="4FABAA05" w14:textId="07A66699" w:rsidR="00EB1ED0" w:rsidRDefault="00EB1ED0" w:rsidP="00F4068B">
      <w:pPr>
        <w:autoSpaceDE w:val="0"/>
        <w:autoSpaceDN w:val="0"/>
        <w:adjustRightInd w:val="0"/>
        <w:rPr>
          <w:rFonts w:ascii="Arial" w:hAnsi="Arial" w:cs="Arial"/>
          <w:sz w:val="24"/>
          <w:szCs w:val="24"/>
        </w:rPr>
      </w:pPr>
    </w:p>
    <w:p w14:paraId="01F98840" w14:textId="77777777" w:rsidR="00E018E3" w:rsidRDefault="00E018E3" w:rsidP="00E018E3">
      <w:pPr>
        <w:keepLines/>
        <w:rPr>
          <w:rFonts w:ascii="Arial" w:hAnsi="Arial" w:cs="Arial"/>
          <w:sz w:val="24"/>
          <w:szCs w:val="24"/>
        </w:rPr>
      </w:pPr>
      <w:r w:rsidRPr="005807FA">
        <w:rPr>
          <w:rFonts w:ascii="Arial" w:hAnsi="Arial" w:cs="Arial"/>
          <w:sz w:val="24"/>
          <w:szCs w:val="24"/>
        </w:rPr>
        <w:t xml:space="preserve">I know that authorities will </w:t>
      </w:r>
      <w:r>
        <w:rPr>
          <w:rFonts w:ascii="Arial" w:hAnsi="Arial" w:cs="Arial"/>
          <w:sz w:val="24"/>
          <w:szCs w:val="24"/>
        </w:rPr>
        <w:t>have already</w:t>
      </w:r>
      <w:r w:rsidRPr="005807FA">
        <w:rPr>
          <w:rFonts w:ascii="Arial" w:hAnsi="Arial" w:cs="Arial"/>
          <w:sz w:val="24"/>
          <w:szCs w:val="24"/>
        </w:rPr>
        <w:t xml:space="preserve"> ma</w:t>
      </w:r>
      <w:r>
        <w:rPr>
          <w:rFonts w:ascii="Arial" w:hAnsi="Arial" w:cs="Arial"/>
          <w:sz w:val="24"/>
          <w:szCs w:val="24"/>
        </w:rPr>
        <w:t>de tough</w:t>
      </w:r>
      <w:r w:rsidRPr="005807FA">
        <w:rPr>
          <w:rFonts w:ascii="Arial" w:hAnsi="Arial" w:cs="Arial"/>
          <w:sz w:val="24"/>
          <w:szCs w:val="24"/>
        </w:rPr>
        <w:t xml:space="preserve"> choices in setting their budgets</w:t>
      </w:r>
      <w:r>
        <w:rPr>
          <w:rFonts w:ascii="Arial" w:hAnsi="Arial" w:cs="Arial"/>
          <w:sz w:val="24"/>
          <w:szCs w:val="24"/>
        </w:rPr>
        <w:t xml:space="preserve">.  </w:t>
      </w:r>
      <w:r w:rsidRPr="005807FA">
        <w:rPr>
          <w:rFonts w:ascii="Arial" w:hAnsi="Arial" w:cs="Arial"/>
          <w:sz w:val="24"/>
          <w:szCs w:val="24"/>
        </w:rPr>
        <w:t>The setting of budgets, and in turn council tax, is the responsibility of each local authority and authorities will need to take account of the full range of sources of funding available to them, as well as the pressures they face, in setting their budgets for the coming year.</w:t>
      </w:r>
    </w:p>
    <w:p w14:paraId="5CECB57F" w14:textId="77777777" w:rsidR="00E018E3" w:rsidRDefault="00E018E3" w:rsidP="00E018E3">
      <w:pPr>
        <w:keepLines/>
        <w:rPr>
          <w:rFonts w:ascii="Arial" w:hAnsi="Arial" w:cs="Arial"/>
          <w:sz w:val="24"/>
          <w:szCs w:val="24"/>
        </w:rPr>
      </w:pPr>
    </w:p>
    <w:p w14:paraId="7FFBB675" w14:textId="4D38746D" w:rsidR="00E018E3" w:rsidRPr="00D0520E" w:rsidRDefault="00E018E3" w:rsidP="00E018E3">
      <w:pPr>
        <w:pStyle w:val="Default"/>
        <w:rPr>
          <w:color w:val="auto"/>
          <w:sz w:val="22"/>
        </w:rPr>
      </w:pPr>
      <w:r w:rsidRPr="00D0520E">
        <w:rPr>
          <w:szCs w:val="28"/>
        </w:rPr>
        <w:t xml:space="preserve">The motion for the </w:t>
      </w:r>
      <w:r>
        <w:rPr>
          <w:szCs w:val="28"/>
        </w:rPr>
        <w:t>Senedd</w:t>
      </w:r>
      <w:r w:rsidRPr="00D0520E">
        <w:rPr>
          <w:szCs w:val="28"/>
        </w:rPr>
        <w:t xml:space="preserve"> to approve the Local Government Finance Report</w:t>
      </w:r>
      <w:r w:rsidR="009D20CA">
        <w:rPr>
          <w:szCs w:val="28"/>
        </w:rPr>
        <w:t xml:space="preserve"> (No.1)</w:t>
      </w:r>
      <w:r w:rsidRPr="00D0520E">
        <w:rPr>
          <w:szCs w:val="28"/>
        </w:rPr>
        <w:t xml:space="preserve"> for </w:t>
      </w:r>
      <w:r>
        <w:rPr>
          <w:color w:val="auto"/>
        </w:rPr>
        <w:t xml:space="preserve">2021-22 </w:t>
      </w:r>
      <w:r w:rsidRPr="00D0520E">
        <w:rPr>
          <w:szCs w:val="28"/>
        </w:rPr>
        <w:t xml:space="preserve">is scheduled for debate on </w:t>
      </w:r>
      <w:r>
        <w:rPr>
          <w:szCs w:val="28"/>
        </w:rPr>
        <w:t>9 March 2021</w:t>
      </w:r>
      <w:r w:rsidRPr="00D0520E">
        <w:rPr>
          <w:szCs w:val="28"/>
        </w:rPr>
        <w:t>.</w:t>
      </w:r>
    </w:p>
    <w:p w14:paraId="354900C3" w14:textId="77777777" w:rsidR="00E018E3" w:rsidRPr="00806E47" w:rsidRDefault="00E018E3" w:rsidP="00806E47">
      <w:pPr>
        <w:rPr>
          <w:rFonts w:ascii="Arial" w:hAnsi="Arial" w:cs="Arial"/>
          <w:sz w:val="24"/>
          <w:szCs w:val="24"/>
        </w:rPr>
        <w:sectPr w:rsidR="00E018E3" w:rsidRPr="00806E47" w:rsidSect="006353A0">
          <w:headerReference w:type="first" r:id="rId13"/>
          <w:pgSz w:w="11906" w:h="16838" w:code="9"/>
          <w:pgMar w:top="1440" w:right="709" w:bottom="709" w:left="1418" w:header="720" w:footer="510" w:gutter="0"/>
          <w:cols w:space="720"/>
          <w:titlePg/>
        </w:sectPr>
      </w:pPr>
    </w:p>
    <w:p w14:paraId="6FAA88F3" w14:textId="77777777" w:rsidR="00806E47" w:rsidRDefault="00BE5BE5" w:rsidP="00BE5BE5">
      <w:pPr>
        <w:pStyle w:val="Heading1"/>
      </w:pPr>
      <w:r w:rsidRPr="00BE5BE5">
        <w:lastRenderedPageBreak/>
        <w:t>Summary Table</w:t>
      </w:r>
    </w:p>
    <w:p w14:paraId="5B49DF61" w14:textId="77777777" w:rsidR="00806E47" w:rsidRDefault="00806E47" w:rsidP="00BE5BE5">
      <w:pPr>
        <w:pStyle w:val="Heading1"/>
      </w:pPr>
    </w:p>
    <w:p w14:paraId="7BA6FF38" w14:textId="2D7DB842" w:rsidR="00154A32" w:rsidRPr="00806E47" w:rsidRDefault="00154A32" w:rsidP="00806E47">
      <w:pPr>
        <w:rPr>
          <w:rFonts w:ascii="Arial" w:hAnsi="Arial" w:cs="Arial"/>
          <w:b/>
          <w:sz w:val="24"/>
          <w:szCs w:val="24"/>
        </w:rPr>
      </w:pPr>
      <w:r w:rsidRPr="00806E47">
        <w:rPr>
          <w:rFonts w:ascii="Arial" w:hAnsi="Arial" w:cs="Arial"/>
          <w:b/>
          <w:sz w:val="24"/>
          <w:szCs w:val="24"/>
        </w:rPr>
        <w:t>202</w:t>
      </w:r>
      <w:r w:rsidR="00BE5BE5" w:rsidRPr="00806E47">
        <w:rPr>
          <w:rFonts w:ascii="Arial" w:hAnsi="Arial" w:cs="Arial"/>
          <w:b/>
          <w:sz w:val="24"/>
          <w:szCs w:val="24"/>
        </w:rPr>
        <w:t>1</w:t>
      </w:r>
      <w:r w:rsidRPr="00806E47">
        <w:rPr>
          <w:rFonts w:ascii="Arial" w:hAnsi="Arial" w:cs="Arial"/>
          <w:b/>
          <w:sz w:val="24"/>
          <w:szCs w:val="24"/>
        </w:rPr>
        <w:t>-2</w:t>
      </w:r>
      <w:r w:rsidR="00BE5BE5" w:rsidRPr="00806E47">
        <w:rPr>
          <w:rFonts w:ascii="Arial" w:hAnsi="Arial" w:cs="Arial"/>
          <w:b/>
          <w:sz w:val="24"/>
          <w:szCs w:val="24"/>
        </w:rPr>
        <w:t>2</w:t>
      </w:r>
      <w:r w:rsidRPr="00806E47">
        <w:rPr>
          <w:rFonts w:ascii="Arial" w:hAnsi="Arial" w:cs="Arial"/>
          <w:b/>
          <w:sz w:val="24"/>
          <w:szCs w:val="24"/>
        </w:rPr>
        <w:t xml:space="preserve"> </w:t>
      </w:r>
      <w:r w:rsidR="003D6721">
        <w:rPr>
          <w:rFonts w:ascii="Arial" w:hAnsi="Arial" w:cs="Arial"/>
          <w:b/>
          <w:sz w:val="24"/>
          <w:szCs w:val="24"/>
        </w:rPr>
        <w:t>final</w:t>
      </w:r>
      <w:r w:rsidRPr="00806E47">
        <w:rPr>
          <w:rFonts w:ascii="Arial" w:hAnsi="Arial" w:cs="Arial"/>
          <w:b/>
          <w:sz w:val="24"/>
          <w:szCs w:val="24"/>
        </w:rPr>
        <w:t xml:space="preserve"> settlement – comparison of 20</w:t>
      </w:r>
      <w:r w:rsidR="00BE5BE5" w:rsidRPr="00806E47">
        <w:rPr>
          <w:rFonts w:ascii="Arial" w:hAnsi="Arial" w:cs="Arial"/>
          <w:b/>
          <w:sz w:val="24"/>
          <w:szCs w:val="24"/>
        </w:rPr>
        <w:t>20</w:t>
      </w:r>
      <w:r w:rsidRPr="00806E47">
        <w:rPr>
          <w:rFonts w:ascii="Arial" w:hAnsi="Arial" w:cs="Arial"/>
          <w:b/>
          <w:sz w:val="24"/>
          <w:szCs w:val="24"/>
        </w:rPr>
        <w:t>-2</w:t>
      </w:r>
      <w:r w:rsidR="00BE5BE5" w:rsidRPr="00806E47">
        <w:rPr>
          <w:rFonts w:ascii="Arial" w:hAnsi="Arial" w:cs="Arial"/>
          <w:b/>
          <w:sz w:val="24"/>
          <w:szCs w:val="24"/>
        </w:rPr>
        <w:t>1</w:t>
      </w:r>
      <w:r w:rsidRPr="00806E47">
        <w:rPr>
          <w:rFonts w:ascii="Arial" w:hAnsi="Arial" w:cs="Arial"/>
          <w:b/>
          <w:sz w:val="24"/>
          <w:szCs w:val="24"/>
        </w:rPr>
        <w:t xml:space="preserve"> AEF (adjusted for transfers) and 202</w:t>
      </w:r>
      <w:r w:rsidR="00BE5BE5" w:rsidRPr="00806E47">
        <w:rPr>
          <w:rFonts w:ascii="Arial" w:hAnsi="Arial" w:cs="Arial"/>
          <w:b/>
          <w:sz w:val="24"/>
          <w:szCs w:val="24"/>
        </w:rPr>
        <w:t>1</w:t>
      </w:r>
      <w:r w:rsidRPr="00806E47">
        <w:rPr>
          <w:rFonts w:ascii="Arial" w:hAnsi="Arial" w:cs="Arial"/>
          <w:b/>
          <w:sz w:val="24"/>
          <w:szCs w:val="24"/>
        </w:rPr>
        <w:t>-2</w:t>
      </w:r>
      <w:r w:rsidR="00BE5BE5" w:rsidRPr="00806E47">
        <w:rPr>
          <w:rFonts w:ascii="Arial" w:hAnsi="Arial" w:cs="Arial"/>
          <w:b/>
          <w:sz w:val="24"/>
          <w:szCs w:val="24"/>
        </w:rPr>
        <w:t>2</w:t>
      </w:r>
      <w:r w:rsidRPr="00806E47">
        <w:rPr>
          <w:rFonts w:ascii="Arial" w:hAnsi="Arial" w:cs="Arial"/>
          <w:b/>
          <w:sz w:val="24"/>
          <w:szCs w:val="24"/>
        </w:rPr>
        <w:t xml:space="preserve"> </w:t>
      </w:r>
      <w:r w:rsidR="00EF2D4D">
        <w:rPr>
          <w:rFonts w:ascii="Arial" w:hAnsi="Arial" w:cs="Arial"/>
          <w:b/>
          <w:sz w:val="24"/>
          <w:szCs w:val="24"/>
        </w:rPr>
        <w:t>final</w:t>
      </w:r>
      <w:r w:rsidR="00EF2D4D" w:rsidRPr="00806E47">
        <w:rPr>
          <w:rFonts w:ascii="Arial" w:hAnsi="Arial" w:cs="Arial"/>
          <w:b/>
          <w:sz w:val="24"/>
          <w:szCs w:val="24"/>
        </w:rPr>
        <w:t xml:space="preserve"> </w:t>
      </w:r>
      <w:r w:rsidRPr="00806E47">
        <w:rPr>
          <w:rFonts w:ascii="Arial" w:hAnsi="Arial" w:cs="Arial"/>
          <w:b/>
          <w:sz w:val="24"/>
          <w:szCs w:val="24"/>
        </w:rPr>
        <w:t>AEF, and distribution of the 2020-21 Council Tax Reduction Schemes funding (distributed within AEF)</w:t>
      </w:r>
      <w:r w:rsidR="00BE5BE5" w:rsidRPr="00806E47">
        <w:rPr>
          <w:rFonts w:ascii="Arial" w:hAnsi="Arial" w:cs="Arial"/>
          <w:b/>
          <w:sz w:val="24"/>
          <w:szCs w:val="24"/>
        </w:rPr>
        <w:t xml:space="preserve"> (£000s)</w:t>
      </w:r>
    </w:p>
    <w:p w14:paraId="3639FD3A" w14:textId="77777777" w:rsidR="00BE5BE5" w:rsidRDefault="00BE5BE5" w:rsidP="00154A32">
      <w:pPr>
        <w:rPr>
          <w:rFonts w:ascii="Arial" w:hAnsi="Arial" w:cs="Arial"/>
          <w:b/>
          <w:sz w:val="24"/>
          <w:szCs w:val="24"/>
        </w:rPr>
      </w:pPr>
    </w:p>
    <w:tbl>
      <w:tblPr>
        <w:tblW w:w="11482" w:type="dxa"/>
        <w:tblLayout w:type="fixed"/>
        <w:tblCellMar>
          <w:left w:w="30" w:type="dxa"/>
          <w:right w:w="30" w:type="dxa"/>
        </w:tblCellMar>
        <w:tblLook w:val="0000" w:firstRow="0" w:lastRow="0" w:firstColumn="0" w:lastColumn="0" w:noHBand="0" w:noVBand="0"/>
        <w:tblDescription w:val="Summary Table: 2021-22 provisional settlement – comparison of 2020-21 AEF (adjusted for transfers) and 2021-22 provisional AEF, and distribution of the 2020-21 Council Tax Reduction Schemes funding (distributed within AEF) (£000s)"/>
      </w:tblPr>
      <w:tblGrid>
        <w:gridCol w:w="2455"/>
        <w:gridCol w:w="1805"/>
        <w:gridCol w:w="1410"/>
        <w:gridCol w:w="1701"/>
        <w:gridCol w:w="1276"/>
        <w:gridCol w:w="2835"/>
      </w:tblGrid>
      <w:tr w:rsidR="00BE5BE5" w:rsidRPr="004E20AE" w14:paraId="1BF09367" w14:textId="77777777" w:rsidTr="003D6721">
        <w:trPr>
          <w:trHeight w:val="678"/>
          <w:tblHeader/>
        </w:trPr>
        <w:tc>
          <w:tcPr>
            <w:tcW w:w="2455" w:type="dxa"/>
            <w:tcBorders>
              <w:top w:val="single" w:sz="4" w:space="0" w:color="auto"/>
              <w:bottom w:val="single" w:sz="4" w:space="0" w:color="auto"/>
            </w:tcBorders>
            <w:shd w:val="solid" w:color="FFFFFF" w:fill="auto"/>
            <w:vAlign w:val="center"/>
          </w:tcPr>
          <w:p w14:paraId="5730A896" w14:textId="77777777" w:rsidR="00BE5BE5" w:rsidRPr="004E20AE" w:rsidRDefault="00BE5BE5" w:rsidP="009439DA">
            <w:pPr>
              <w:autoSpaceDE w:val="0"/>
              <w:autoSpaceDN w:val="0"/>
              <w:adjustRightInd w:val="0"/>
              <w:rPr>
                <w:rFonts w:ascii="Arial" w:hAnsi="Arial" w:cs="Arial"/>
                <w:b/>
                <w:sz w:val="20"/>
                <w:lang w:eastAsia="en-GB"/>
              </w:rPr>
            </w:pPr>
          </w:p>
          <w:p w14:paraId="00C06A6C" w14:textId="77777777" w:rsidR="00BE5BE5" w:rsidRPr="004E20AE" w:rsidRDefault="00BE5BE5" w:rsidP="009439DA">
            <w:pPr>
              <w:autoSpaceDE w:val="0"/>
              <w:autoSpaceDN w:val="0"/>
              <w:adjustRightInd w:val="0"/>
              <w:rPr>
                <w:rFonts w:ascii="Arial" w:hAnsi="Arial" w:cs="Arial"/>
                <w:b/>
                <w:sz w:val="20"/>
                <w:lang w:eastAsia="en-GB"/>
              </w:rPr>
            </w:pPr>
            <w:r w:rsidRPr="004E20AE">
              <w:rPr>
                <w:rFonts w:ascii="Arial" w:hAnsi="Arial" w:cs="Arial"/>
                <w:b/>
                <w:sz w:val="20"/>
                <w:lang w:eastAsia="en-GB"/>
              </w:rPr>
              <w:t>Unitary authority</w:t>
            </w:r>
          </w:p>
        </w:tc>
        <w:tc>
          <w:tcPr>
            <w:tcW w:w="1805" w:type="dxa"/>
            <w:tcBorders>
              <w:top w:val="single" w:sz="4" w:space="0" w:color="auto"/>
              <w:bottom w:val="single" w:sz="4" w:space="0" w:color="auto"/>
            </w:tcBorders>
            <w:shd w:val="solid" w:color="FFFFFF" w:fill="auto"/>
            <w:vAlign w:val="center"/>
          </w:tcPr>
          <w:p w14:paraId="7928900E" w14:textId="206969EE" w:rsidR="00BE5BE5" w:rsidRPr="004E20AE" w:rsidRDefault="00BE5BE5" w:rsidP="009439DA">
            <w:pPr>
              <w:autoSpaceDE w:val="0"/>
              <w:autoSpaceDN w:val="0"/>
              <w:adjustRightInd w:val="0"/>
              <w:jc w:val="center"/>
              <w:rPr>
                <w:rFonts w:ascii="Arial" w:hAnsi="Arial" w:cs="Arial"/>
                <w:b/>
                <w:sz w:val="20"/>
                <w:lang w:eastAsia="en-GB"/>
              </w:rPr>
            </w:pPr>
            <w:r>
              <w:rPr>
                <w:rFonts w:ascii="Arial" w:hAnsi="Arial" w:cs="Arial"/>
                <w:b/>
                <w:sz w:val="20"/>
                <w:lang w:eastAsia="en-GB"/>
              </w:rPr>
              <w:t>2020-21</w:t>
            </w:r>
          </w:p>
          <w:p w14:paraId="242B62FF" w14:textId="0B5B2C69" w:rsidR="00BE5BE5" w:rsidRPr="004E20AE" w:rsidRDefault="00BE5BE5" w:rsidP="00BE5BE5">
            <w:pPr>
              <w:autoSpaceDE w:val="0"/>
              <w:autoSpaceDN w:val="0"/>
              <w:adjustRightInd w:val="0"/>
              <w:jc w:val="center"/>
              <w:rPr>
                <w:rFonts w:ascii="Arial" w:hAnsi="Arial" w:cs="Arial"/>
                <w:b/>
                <w:sz w:val="20"/>
                <w:lang w:eastAsia="en-GB"/>
              </w:rPr>
            </w:pPr>
            <w:r w:rsidRPr="004E20AE">
              <w:rPr>
                <w:rFonts w:ascii="Arial" w:hAnsi="Arial" w:cs="Arial"/>
                <w:b/>
                <w:sz w:val="20"/>
                <w:lang w:eastAsia="en-GB"/>
              </w:rPr>
              <w:t>adjusted AEF</w:t>
            </w:r>
            <w:r w:rsidRPr="004E20AE">
              <w:rPr>
                <w:rFonts w:ascii="Arial" w:hAnsi="Arial" w:cs="Arial"/>
                <w:b/>
                <w:sz w:val="20"/>
                <w:vertAlign w:val="superscript"/>
                <w:lang w:eastAsia="en-GB"/>
              </w:rPr>
              <w:t>1</w:t>
            </w:r>
          </w:p>
        </w:tc>
        <w:tc>
          <w:tcPr>
            <w:tcW w:w="1410" w:type="dxa"/>
            <w:tcBorders>
              <w:top w:val="single" w:sz="4" w:space="0" w:color="auto"/>
              <w:bottom w:val="single" w:sz="4" w:space="0" w:color="auto"/>
            </w:tcBorders>
            <w:shd w:val="solid" w:color="FFFFFF" w:fill="auto"/>
            <w:vAlign w:val="center"/>
          </w:tcPr>
          <w:p w14:paraId="33E7AF52" w14:textId="3AF07FEF" w:rsidR="00BE5BE5" w:rsidRPr="004E20AE" w:rsidRDefault="00BE5BE5" w:rsidP="003D6721">
            <w:pPr>
              <w:autoSpaceDE w:val="0"/>
              <w:autoSpaceDN w:val="0"/>
              <w:adjustRightInd w:val="0"/>
              <w:jc w:val="center"/>
              <w:rPr>
                <w:rFonts w:ascii="Arial" w:hAnsi="Arial" w:cs="Arial"/>
                <w:b/>
                <w:sz w:val="20"/>
                <w:lang w:eastAsia="en-GB"/>
              </w:rPr>
            </w:pPr>
            <w:r>
              <w:rPr>
                <w:rFonts w:ascii="Arial" w:hAnsi="Arial" w:cs="Arial"/>
                <w:b/>
                <w:sz w:val="20"/>
                <w:lang w:eastAsia="en-GB"/>
              </w:rPr>
              <w:t>2021-22</w:t>
            </w:r>
            <w:r w:rsidRPr="004E20AE">
              <w:rPr>
                <w:rFonts w:ascii="Arial" w:hAnsi="Arial" w:cs="Arial"/>
                <w:b/>
                <w:sz w:val="20"/>
                <w:lang w:eastAsia="en-GB"/>
              </w:rPr>
              <w:t xml:space="preserve"> </w:t>
            </w:r>
            <w:r w:rsidR="003D6721">
              <w:rPr>
                <w:rFonts w:ascii="Arial" w:hAnsi="Arial" w:cs="Arial"/>
                <w:b/>
                <w:sz w:val="20"/>
                <w:lang w:eastAsia="en-GB"/>
              </w:rPr>
              <w:t>final</w:t>
            </w:r>
            <w:r w:rsidRPr="004E20AE">
              <w:rPr>
                <w:rFonts w:ascii="Arial" w:hAnsi="Arial" w:cs="Arial"/>
                <w:b/>
                <w:sz w:val="20"/>
                <w:lang w:eastAsia="en-GB"/>
              </w:rPr>
              <w:t xml:space="preserve"> AEF</w:t>
            </w:r>
            <w:r w:rsidR="003D6721" w:rsidRPr="003D6721">
              <w:rPr>
                <w:rFonts w:ascii="Arial" w:hAnsi="Arial" w:cs="Arial"/>
                <w:b/>
                <w:sz w:val="20"/>
                <w:vertAlign w:val="superscript"/>
                <w:lang w:eastAsia="en-GB"/>
              </w:rPr>
              <w:t>2</w:t>
            </w:r>
          </w:p>
        </w:tc>
        <w:tc>
          <w:tcPr>
            <w:tcW w:w="1701" w:type="dxa"/>
            <w:tcBorders>
              <w:top w:val="single" w:sz="4" w:space="0" w:color="auto"/>
              <w:bottom w:val="single" w:sz="4" w:space="0" w:color="auto"/>
            </w:tcBorders>
            <w:shd w:val="solid" w:color="FFFFFF" w:fill="auto"/>
            <w:vAlign w:val="center"/>
          </w:tcPr>
          <w:p w14:paraId="0AA5A668" w14:textId="0B7F66EA" w:rsidR="00BE5BE5" w:rsidRPr="004E20AE" w:rsidRDefault="00BE5BE5" w:rsidP="00BE5BE5">
            <w:pPr>
              <w:autoSpaceDE w:val="0"/>
              <w:autoSpaceDN w:val="0"/>
              <w:adjustRightInd w:val="0"/>
              <w:jc w:val="center"/>
              <w:rPr>
                <w:rFonts w:ascii="Arial" w:hAnsi="Arial" w:cs="Arial"/>
                <w:b/>
                <w:sz w:val="20"/>
                <w:lang w:eastAsia="en-GB"/>
              </w:rPr>
            </w:pPr>
            <w:r w:rsidRPr="004E20AE">
              <w:rPr>
                <w:rFonts w:ascii="Arial" w:hAnsi="Arial" w:cs="Arial"/>
                <w:b/>
                <w:sz w:val="20"/>
                <w:lang w:eastAsia="en-GB"/>
              </w:rPr>
              <w:t xml:space="preserve">% change on adjusted </w:t>
            </w:r>
            <w:r>
              <w:rPr>
                <w:rFonts w:ascii="Arial" w:hAnsi="Arial" w:cs="Arial"/>
                <w:b/>
                <w:sz w:val="20"/>
                <w:lang w:eastAsia="en-GB"/>
              </w:rPr>
              <w:t>2020-21</w:t>
            </w:r>
            <w:r w:rsidRPr="004E20AE">
              <w:rPr>
                <w:rFonts w:ascii="Arial" w:hAnsi="Arial" w:cs="Arial"/>
                <w:b/>
                <w:sz w:val="20"/>
                <w:lang w:eastAsia="en-GB"/>
              </w:rPr>
              <w:t xml:space="preserve"> AEF</w:t>
            </w:r>
          </w:p>
        </w:tc>
        <w:tc>
          <w:tcPr>
            <w:tcW w:w="1276" w:type="dxa"/>
            <w:tcBorders>
              <w:top w:val="single" w:sz="4" w:space="0" w:color="auto"/>
              <w:bottom w:val="single" w:sz="4" w:space="0" w:color="auto"/>
            </w:tcBorders>
            <w:shd w:val="solid" w:color="FFFFFF" w:fill="auto"/>
            <w:vAlign w:val="center"/>
          </w:tcPr>
          <w:p w14:paraId="2B7CB1DF" w14:textId="77777777" w:rsidR="00BE5BE5" w:rsidRPr="004E20AE" w:rsidRDefault="00BE5BE5" w:rsidP="009439DA">
            <w:pPr>
              <w:autoSpaceDE w:val="0"/>
              <w:autoSpaceDN w:val="0"/>
              <w:adjustRightInd w:val="0"/>
              <w:jc w:val="center"/>
              <w:rPr>
                <w:rFonts w:ascii="Arial" w:hAnsi="Arial" w:cs="Arial"/>
                <w:b/>
                <w:sz w:val="20"/>
                <w:lang w:eastAsia="en-GB"/>
              </w:rPr>
            </w:pPr>
            <w:r w:rsidRPr="004E20AE">
              <w:rPr>
                <w:rFonts w:ascii="Arial" w:hAnsi="Arial" w:cs="Arial"/>
                <w:b/>
                <w:sz w:val="20"/>
                <w:lang w:eastAsia="en-GB"/>
              </w:rPr>
              <w:t>Rank</w:t>
            </w:r>
          </w:p>
        </w:tc>
        <w:tc>
          <w:tcPr>
            <w:tcW w:w="2835" w:type="dxa"/>
            <w:tcBorders>
              <w:top w:val="single" w:sz="4" w:space="0" w:color="auto"/>
              <w:bottom w:val="single" w:sz="4" w:space="0" w:color="auto"/>
            </w:tcBorders>
            <w:shd w:val="solid" w:color="FFFFFF" w:fill="auto"/>
            <w:vAlign w:val="center"/>
          </w:tcPr>
          <w:p w14:paraId="18555026" w14:textId="77777777" w:rsidR="00BE5BE5" w:rsidRPr="004E20AE" w:rsidRDefault="00BE5BE5" w:rsidP="009439DA">
            <w:pPr>
              <w:autoSpaceDE w:val="0"/>
              <w:autoSpaceDN w:val="0"/>
              <w:adjustRightInd w:val="0"/>
              <w:jc w:val="center"/>
              <w:rPr>
                <w:rFonts w:ascii="Arial" w:hAnsi="Arial" w:cs="Arial"/>
                <w:b/>
                <w:sz w:val="20"/>
                <w:lang w:eastAsia="en-GB"/>
              </w:rPr>
            </w:pPr>
            <w:r w:rsidRPr="004E20AE">
              <w:rPr>
                <w:rFonts w:ascii="Arial" w:hAnsi="Arial" w:cs="Arial"/>
                <w:b/>
                <w:sz w:val="20"/>
                <w:lang w:eastAsia="en-GB"/>
              </w:rPr>
              <w:t>Council Tax Reduction Schemes (within AEF)</w:t>
            </w:r>
          </w:p>
        </w:tc>
      </w:tr>
      <w:tr w:rsidR="000574FE" w:rsidRPr="004E20AE" w14:paraId="73BB2EE0" w14:textId="77777777" w:rsidTr="003D6721">
        <w:trPr>
          <w:trHeight w:val="411"/>
        </w:trPr>
        <w:tc>
          <w:tcPr>
            <w:tcW w:w="2455" w:type="dxa"/>
            <w:shd w:val="solid" w:color="FFFFFF" w:fill="auto"/>
            <w:vAlign w:val="bottom"/>
          </w:tcPr>
          <w:p w14:paraId="7753A8D6" w14:textId="77777777" w:rsidR="000574FE" w:rsidRPr="004E20AE" w:rsidRDefault="000574FE" w:rsidP="000574FE">
            <w:pPr>
              <w:autoSpaceDE w:val="0"/>
              <w:autoSpaceDN w:val="0"/>
              <w:adjustRightInd w:val="0"/>
              <w:rPr>
                <w:rFonts w:ascii="Arial" w:hAnsi="Arial" w:cs="Arial"/>
                <w:sz w:val="20"/>
                <w:lang w:eastAsia="en-GB"/>
              </w:rPr>
            </w:pPr>
            <w:r w:rsidRPr="004E20AE">
              <w:rPr>
                <w:rFonts w:ascii="Arial" w:hAnsi="Arial" w:cs="Arial"/>
                <w:sz w:val="20"/>
                <w:lang w:eastAsia="en-GB"/>
              </w:rPr>
              <w:t>Isle of Anglesey</w:t>
            </w:r>
          </w:p>
        </w:tc>
        <w:tc>
          <w:tcPr>
            <w:tcW w:w="1805" w:type="dxa"/>
            <w:shd w:val="solid" w:color="FFFFFF" w:fill="auto"/>
            <w:vAlign w:val="bottom"/>
          </w:tcPr>
          <w:p w14:paraId="75ADB797" w14:textId="2884F613"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101,369</w:t>
            </w:r>
          </w:p>
        </w:tc>
        <w:tc>
          <w:tcPr>
            <w:tcW w:w="1410" w:type="dxa"/>
            <w:shd w:val="solid" w:color="FFFFFF" w:fill="auto"/>
            <w:vAlign w:val="bottom"/>
          </w:tcPr>
          <w:p w14:paraId="46A63AB3" w14:textId="72B4FE65"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104,825</w:t>
            </w:r>
          </w:p>
        </w:tc>
        <w:tc>
          <w:tcPr>
            <w:tcW w:w="1701" w:type="dxa"/>
            <w:shd w:val="solid" w:color="FFFFFF" w:fill="auto"/>
            <w:vAlign w:val="bottom"/>
          </w:tcPr>
          <w:p w14:paraId="544CB29F" w14:textId="218F7D79"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3.4%</w:t>
            </w:r>
          </w:p>
        </w:tc>
        <w:tc>
          <w:tcPr>
            <w:tcW w:w="1276" w:type="dxa"/>
            <w:shd w:val="solid" w:color="FFFFFF" w:fill="auto"/>
            <w:vAlign w:val="bottom"/>
          </w:tcPr>
          <w:p w14:paraId="0664C505" w14:textId="423CE282"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18</w:t>
            </w:r>
          </w:p>
        </w:tc>
        <w:tc>
          <w:tcPr>
            <w:tcW w:w="2835" w:type="dxa"/>
            <w:shd w:val="solid" w:color="FFFFFF" w:fill="auto"/>
            <w:vAlign w:val="bottom"/>
          </w:tcPr>
          <w:p w14:paraId="518B9AB7" w14:textId="5D427294"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sz w:val="20"/>
              </w:rPr>
              <w:t>5,186</w:t>
            </w:r>
          </w:p>
        </w:tc>
      </w:tr>
      <w:tr w:rsidR="000574FE" w:rsidRPr="004E20AE" w14:paraId="72223F73" w14:textId="77777777" w:rsidTr="003D6721">
        <w:trPr>
          <w:trHeight w:val="259"/>
        </w:trPr>
        <w:tc>
          <w:tcPr>
            <w:tcW w:w="2455" w:type="dxa"/>
            <w:shd w:val="solid" w:color="FFFFFF" w:fill="auto"/>
            <w:vAlign w:val="center"/>
          </w:tcPr>
          <w:p w14:paraId="6F0243C1" w14:textId="77777777" w:rsidR="000574FE" w:rsidRPr="004E20AE" w:rsidRDefault="000574FE" w:rsidP="000574FE">
            <w:pPr>
              <w:autoSpaceDE w:val="0"/>
              <w:autoSpaceDN w:val="0"/>
              <w:adjustRightInd w:val="0"/>
              <w:rPr>
                <w:rFonts w:ascii="Arial" w:hAnsi="Arial" w:cs="Arial"/>
                <w:sz w:val="20"/>
                <w:lang w:eastAsia="en-GB"/>
              </w:rPr>
            </w:pPr>
            <w:r w:rsidRPr="004E20AE">
              <w:rPr>
                <w:rFonts w:ascii="Arial" w:hAnsi="Arial" w:cs="Arial"/>
                <w:sz w:val="20"/>
                <w:lang w:eastAsia="en-GB"/>
              </w:rPr>
              <w:t>Gwynedd</w:t>
            </w:r>
          </w:p>
        </w:tc>
        <w:tc>
          <w:tcPr>
            <w:tcW w:w="1805" w:type="dxa"/>
            <w:shd w:val="solid" w:color="FFFFFF" w:fill="auto"/>
            <w:vAlign w:val="bottom"/>
          </w:tcPr>
          <w:p w14:paraId="00DBEBBB" w14:textId="45D3B726"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188,409</w:t>
            </w:r>
          </w:p>
        </w:tc>
        <w:tc>
          <w:tcPr>
            <w:tcW w:w="1410" w:type="dxa"/>
            <w:shd w:val="solid" w:color="FFFFFF" w:fill="auto"/>
            <w:vAlign w:val="bottom"/>
          </w:tcPr>
          <w:p w14:paraId="0050114E" w14:textId="52B04F64"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194,793</w:t>
            </w:r>
          </w:p>
        </w:tc>
        <w:tc>
          <w:tcPr>
            <w:tcW w:w="1701" w:type="dxa"/>
            <w:shd w:val="solid" w:color="FFFFFF" w:fill="auto"/>
            <w:vAlign w:val="bottom"/>
          </w:tcPr>
          <w:p w14:paraId="1D048327" w14:textId="18C66D1F"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3.4%</w:t>
            </w:r>
          </w:p>
        </w:tc>
        <w:tc>
          <w:tcPr>
            <w:tcW w:w="1276" w:type="dxa"/>
            <w:shd w:val="solid" w:color="FFFFFF" w:fill="auto"/>
            <w:vAlign w:val="bottom"/>
          </w:tcPr>
          <w:p w14:paraId="0BAEE6A7" w14:textId="560525FC"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19</w:t>
            </w:r>
          </w:p>
        </w:tc>
        <w:tc>
          <w:tcPr>
            <w:tcW w:w="2835" w:type="dxa"/>
            <w:shd w:val="solid" w:color="FFFFFF" w:fill="auto"/>
            <w:vAlign w:val="bottom"/>
          </w:tcPr>
          <w:p w14:paraId="76A34F33" w14:textId="00EF2575"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sz w:val="20"/>
              </w:rPr>
              <w:t>8,541</w:t>
            </w:r>
          </w:p>
        </w:tc>
      </w:tr>
      <w:tr w:rsidR="000574FE" w:rsidRPr="004E20AE" w14:paraId="411E6D1C" w14:textId="77777777" w:rsidTr="003D6721">
        <w:trPr>
          <w:trHeight w:val="259"/>
        </w:trPr>
        <w:tc>
          <w:tcPr>
            <w:tcW w:w="2455" w:type="dxa"/>
            <w:shd w:val="solid" w:color="FFFFFF" w:fill="auto"/>
            <w:vAlign w:val="center"/>
          </w:tcPr>
          <w:p w14:paraId="26E91C95" w14:textId="77777777" w:rsidR="000574FE" w:rsidRPr="004E20AE" w:rsidRDefault="000574FE" w:rsidP="000574FE">
            <w:pPr>
              <w:autoSpaceDE w:val="0"/>
              <w:autoSpaceDN w:val="0"/>
              <w:adjustRightInd w:val="0"/>
              <w:rPr>
                <w:rFonts w:ascii="Arial" w:hAnsi="Arial" w:cs="Arial"/>
                <w:sz w:val="20"/>
                <w:lang w:eastAsia="en-GB"/>
              </w:rPr>
            </w:pPr>
            <w:r w:rsidRPr="004E20AE">
              <w:rPr>
                <w:rFonts w:ascii="Arial" w:hAnsi="Arial" w:cs="Arial"/>
                <w:sz w:val="20"/>
                <w:lang w:eastAsia="en-GB"/>
              </w:rPr>
              <w:t>Conwy</w:t>
            </w:r>
          </w:p>
        </w:tc>
        <w:tc>
          <w:tcPr>
            <w:tcW w:w="1805" w:type="dxa"/>
            <w:shd w:val="solid" w:color="FFFFFF" w:fill="auto"/>
            <w:vAlign w:val="bottom"/>
          </w:tcPr>
          <w:p w14:paraId="3A37D251" w14:textId="59AC12B4"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161,181</w:t>
            </w:r>
          </w:p>
        </w:tc>
        <w:tc>
          <w:tcPr>
            <w:tcW w:w="1410" w:type="dxa"/>
            <w:shd w:val="solid" w:color="FFFFFF" w:fill="auto"/>
            <w:vAlign w:val="bottom"/>
          </w:tcPr>
          <w:p w14:paraId="63F83CB8" w14:textId="1C4238FA"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166,906</w:t>
            </w:r>
          </w:p>
        </w:tc>
        <w:tc>
          <w:tcPr>
            <w:tcW w:w="1701" w:type="dxa"/>
            <w:shd w:val="solid" w:color="FFFFFF" w:fill="auto"/>
            <w:vAlign w:val="bottom"/>
          </w:tcPr>
          <w:p w14:paraId="0280FBAD" w14:textId="4CE3E221"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3.6%</w:t>
            </w:r>
          </w:p>
        </w:tc>
        <w:tc>
          <w:tcPr>
            <w:tcW w:w="1276" w:type="dxa"/>
            <w:shd w:val="solid" w:color="FFFFFF" w:fill="auto"/>
            <w:vAlign w:val="bottom"/>
          </w:tcPr>
          <w:p w14:paraId="2A21ED12" w14:textId="70F3FFF6"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17</w:t>
            </w:r>
          </w:p>
        </w:tc>
        <w:tc>
          <w:tcPr>
            <w:tcW w:w="2835" w:type="dxa"/>
            <w:shd w:val="solid" w:color="FFFFFF" w:fill="auto"/>
            <w:vAlign w:val="bottom"/>
          </w:tcPr>
          <w:p w14:paraId="2D3764B0" w14:textId="55AEDA3F"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sz w:val="20"/>
              </w:rPr>
              <w:t>9,138</w:t>
            </w:r>
          </w:p>
        </w:tc>
      </w:tr>
      <w:tr w:rsidR="000574FE" w:rsidRPr="004E20AE" w14:paraId="57F109D8" w14:textId="77777777" w:rsidTr="003D6721">
        <w:trPr>
          <w:trHeight w:val="259"/>
        </w:trPr>
        <w:tc>
          <w:tcPr>
            <w:tcW w:w="2455" w:type="dxa"/>
            <w:shd w:val="solid" w:color="FFFFFF" w:fill="auto"/>
            <w:vAlign w:val="center"/>
          </w:tcPr>
          <w:p w14:paraId="474C955A" w14:textId="77777777" w:rsidR="000574FE" w:rsidRPr="004E20AE" w:rsidRDefault="000574FE" w:rsidP="000574FE">
            <w:pPr>
              <w:autoSpaceDE w:val="0"/>
              <w:autoSpaceDN w:val="0"/>
              <w:adjustRightInd w:val="0"/>
              <w:rPr>
                <w:rFonts w:ascii="Arial" w:hAnsi="Arial" w:cs="Arial"/>
                <w:sz w:val="20"/>
                <w:lang w:eastAsia="en-GB"/>
              </w:rPr>
            </w:pPr>
            <w:r w:rsidRPr="004E20AE">
              <w:rPr>
                <w:rFonts w:ascii="Arial" w:hAnsi="Arial" w:cs="Arial"/>
                <w:sz w:val="20"/>
                <w:lang w:eastAsia="en-GB"/>
              </w:rPr>
              <w:t>Denbighshire</w:t>
            </w:r>
          </w:p>
        </w:tc>
        <w:tc>
          <w:tcPr>
            <w:tcW w:w="1805" w:type="dxa"/>
            <w:shd w:val="solid" w:color="FFFFFF" w:fill="auto"/>
            <w:vAlign w:val="bottom"/>
          </w:tcPr>
          <w:p w14:paraId="0B95E016" w14:textId="40467D7D"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153,089</w:t>
            </w:r>
          </w:p>
        </w:tc>
        <w:tc>
          <w:tcPr>
            <w:tcW w:w="1410" w:type="dxa"/>
            <w:shd w:val="solid" w:color="FFFFFF" w:fill="auto"/>
            <w:vAlign w:val="bottom"/>
          </w:tcPr>
          <w:p w14:paraId="0AFFB543" w14:textId="4EC01748"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158,632</w:t>
            </w:r>
          </w:p>
        </w:tc>
        <w:tc>
          <w:tcPr>
            <w:tcW w:w="1701" w:type="dxa"/>
            <w:shd w:val="solid" w:color="FFFFFF" w:fill="auto"/>
            <w:vAlign w:val="bottom"/>
          </w:tcPr>
          <w:p w14:paraId="47AC7791" w14:textId="4E46F64D"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3.6%</w:t>
            </w:r>
          </w:p>
        </w:tc>
        <w:tc>
          <w:tcPr>
            <w:tcW w:w="1276" w:type="dxa"/>
            <w:shd w:val="solid" w:color="FFFFFF" w:fill="auto"/>
            <w:vAlign w:val="bottom"/>
          </w:tcPr>
          <w:p w14:paraId="799127C8" w14:textId="767137F5"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16</w:t>
            </w:r>
          </w:p>
        </w:tc>
        <w:tc>
          <w:tcPr>
            <w:tcW w:w="2835" w:type="dxa"/>
            <w:shd w:val="solid" w:color="FFFFFF" w:fill="auto"/>
            <w:vAlign w:val="bottom"/>
          </w:tcPr>
          <w:p w14:paraId="0DC19EAD" w14:textId="44E5F854"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sz w:val="20"/>
              </w:rPr>
              <w:t>8,920</w:t>
            </w:r>
          </w:p>
        </w:tc>
      </w:tr>
      <w:tr w:rsidR="000574FE" w:rsidRPr="004E20AE" w14:paraId="5B8F67ED" w14:textId="77777777" w:rsidTr="003D6721">
        <w:trPr>
          <w:trHeight w:val="259"/>
        </w:trPr>
        <w:tc>
          <w:tcPr>
            <w:tcW w:w="2455" w:type="dxa"/>
            <w:shd w:val="solid" w:color="FFFFFF" w:fill="auto"/>
            <w:vAlign w:val="center"/>
          </w:tcPr>
          <w:p w14:paraId="551389BF" w14:textId="77777777" w:rsidR="000574FE" w:rsidRPr="004E20AE" w:rsidRDefault="000574FE" w:rsidP="000574FE">
            <w:pPr>
              <w:autoSpaceDE w:val="0"/>
              <w:autoSpaceDN w:val="0"/>
              <w:adjustRightInd w:val="0"/>
              <w:rPr>
                <w:rFonts w:ascii="Arial" w:hAnsi="Arial" w:cs="Arial"/>
                <w:sz w:val="20"/>
                <w:lang w:eastAsia="en-GB"/>
              </w:rPr>
            </w:pPr>
            <w:r w:rsidRPr="004E20AE">
              <w:rPr>
                <w:rFonts w:ascii="Arial" w:hAnsi="Arial" w:cs="Arial"/>
                <w:sz w:val="20"/>
                <w:lang w:eastAsia="en-GB"/>
              </w:rPr>
              <w:t>Flintshire</w:t>
            </w:r>
          </w:p>
        </w:tc>
        <w:tc>
          <w:tcPr>
            <w:tcW w:w="1805" w:type="dxa"/>
            <w:shd w:val="solid" w:color="FFFFFF" w:fill="auto"/>
            <w:vAlign w:val="bottom"/>
          </w:tcPr>
          <w:p w14:paraId="103EECC1" w14:textId="671893E8"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199,267</w:t>
            </w:r>
          </w:p>
        </w:tc>
        <w:tc>
          <w:tcPr>
            <w:tcW w:w="1410" w:type="dxa"/>
            <w:shd w:val="solid" w:color="FFFFFF" w:fill="auto"/>
            <w:vAlign w:val="bottom"/>
          </w:tcPr>
          <w:p w14:paraId="2E0A0E9A" w14:textId="4682CEE2"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206,778</w:t>
            </w:r>
          </w:p>
        </w:tc>
        <w:tc>
          <w:tcPr>
            <w:tcW w:w="1701" w:type="dxa"/>
            <w:shd w:val="solid" w:color="FFFFFF" w:fill="auto"/>
            <w:vAlign w:val="bottom"/>
          </w:tcPr>
          <w:p w14:paraId="4EBB3D8C" w14:textId="75C9F1D3"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3.8%</w:t>
            </w:r>
          </w:p>
        </w:tc>
        <w:tc>
          <w:tcPr>
            <w:tcW w:w="1276" w:type="dxa"/>
            <w:shd w:val="solid" w:color="FFFFFF" w:fill="auto"/>
            <w:vAlign w:val="bottom"/>
          </w:tcPr>
          <w:p w14:paraId="0CC76443" w14:textId="77BCB061"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14</w:t>
            </w:r>
          </w:p>
        </w:tc>
        <w:tc>
          <w:tcPr>
            <w:tcW w:w="2835" w:type="dxa"/>
            <w:shd w:val="solid" w:color="FFFFFF" w:fill="auto"/>
            <w:vAlign w:val="bottom"/>
          </w:tcPr>
          <w:p w14:paraId="2CB5F547" w14:textId="2215E2F1"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sz w:val="20"/>
              </w:rPr>
              <w:t>9,609</w:t>
            </w:r>
          </w:p>
        </w:tc>
      </w:tr>
      <w:tr w:rsidR="000574FE" w:rsidRPr="004E20AE" w14:paraId="3B1AEF6C" w14:textId="77777777" w:rsidTr="003D6721">
        <w:trPr>
          <w:trHeight w:val="259"/>
        </w:trPr>
        <w:tc>
          <w:tcPr>
            <w:tcW w:w="2455" w:type="dxa"/>
            <w:shd w:val="solid" w:color="FFFFFF" w:fill="auto"/>
            <w:vAlign w:val="center"/>
          </w:tcPr>
          <w:p w14:paraId="2792E5B6" w14:textId="77777777" w:rsidR="000574FE" w:rsidRPr="004E20AE" w:rsidRDefault="000574FE" w:rsidP="000574FE">
            <w:pPr>
              <w:autoSpaceDE w:val="0"/>
              <w:autoSpaceDN w:val="0"/>
              <w:adjustRightInd w:val="0"/>
              <w:rPr>
                <w:rFonts w:ascii="Arial" w:hAnsi="Arial" w:cs="Arial"/>
                <w:sz w:val="20"/>
                <w:lang w:eastAsia="en-GB"/>
              </w:rPr>
            </w:pPr>
            <w:r w:rsidRPr="004E20AE">
              <w:rPr>
                <w:rFonts w:ascii="Arial" w:hAnsi="Arial" w:cs="Arial"/>
                <w:sz w:val="20"/>
                <w:lang w:eastAsia="en-GB"/>
              </w:rPr>
              <w:t>Wrexham</w:t>
            </w:r>
          </w:p>
        </w:tc>
        <w:tc>
          <w:tcPr>
            <w:tcW w:w="1805" w:type="dxa"/>
            <w:shd w:val="solid" w:color="FFFFFF" w:fill="auto"/>
            <w:vAlign w:val="bottom"/>
          </w:tcPr>
          <w:p w14:paraId="4B1C5753" w14:textId="54BA98DC"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184,569</w:t>
            </w:r>
          </w:p>
        </w:tc>
        <w:tc>
          <w:tcPr>
            <w:tcW w:w="1410" w:type="dxa"/>
            <w:shd w:val="solid" w:color="FFFFFF" w:fill="auto"/>
            <w:vAlign w:val="bottom"/>
          </w:tcPr>
          <w:p w14:paraId="103BE2FF" w14:textId="0A738FDB"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188,856</w:t>
            </w:r>
          </w:p>
        </w:tc>
        <w:tc>
          <w:tcPr>
            <w:tcW w:w="1701" w:type="dxa"/>
            <w:shd w:val="solid" w:color="FFFFFF" w:fill="auto"/>
            <w:vAlign w:val="bottom"/>
          </w:tcPr>
          <w:p w14:paraId="21AE55BB" w14:textId="7B5AE1FD"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2.3%</w:t>
            </w:r>
          </w:p>
        </w:tc>
        <w:tc>
          <w:tcPr>
            <w:tcW w:w="1276" w:type="dxa"/>
            <w:shd w:val="solid" w:color="FFFFFF" w:fill="auto"/>
            <w:vAlign w:val="bottom"/>
          </w:tcPr>
          <w:p w14:paraId="181907A3" w14:textId="29B34B02"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21</w:t>
            </w:r>
          </w:p>
        </w:tc>
        <w:tc>
          <w:tcPr>
            <w:tcW w:w="2835" w:type="dxa"/>
            <w:shd w:val="solid" w:color="FFFFFF" w:fill="auto"/>
            <w:vAlign w:val="bottom"/>
          </w:tcPr>
          <w:p w14:paraId="18A2DD92" w14:textId="44ACF3A5"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sz w:val="20"/>
              </w:rPr>
              <w:t>9,062</w:t>
            </w:r>
          </w:p>
        </w:tc>
      </w:tr>
      <w:tr w:rsidR="000574FE" w:rsidRPr="004E20AE" w14:paraId="25DCD508" w14:textId="77777777" w:rsidTr="003D6721">
        <w:trPr>
          <w:trHeight w:val="259"/>
        </w:trPr>
        <w:tc>
          <w:tcPr>
            <w:tcW w:w="2455" w:type="dxa"/>
            <w:shd w:val="solid" w:color="FFFFFF" w:fill="auto"/>
            <w:vAlign w:val="center"/>
          </w:tcPr>
          <w:p w14:paraId="135FE3B8" w14:textId="77777777" w:rsidR="000574FE" w:rsidRPr="004E20AE" w:rsidRDefault="000574FE" w:rsidP="000574FE">
            <w:pPr>
              <w:autoSpaceDE w:val="0"/>
              <w:autoSpaceDN w:val="0"/>
              <w:adjustRightInd w:val="0"/>
              <w:rPr>
                <w:rFonts w:ascii="Arial" w:hAnsi="Arial" w:cs="Arial"/>
                <w:sz w:val="20"/>
                <w:lang w:eastAsia="en-GB"/>
              </w:rPr>
            </w:pPr>
            <w:r w:rsidRPr="004E20AE">
              <w:rPr>
                <w:rFonts w:ascii="Arial" w:hAnsi="Arial" w:cs="Arial"/>
                <w:sz w:val="20"/>
                <w:lang w:eastAsia="en-GB"/>
              </w:rPr>
              <w:t>Powys</w:t>
            </w:r>
          </w:p>
        </w:tc>
        <w:tc>
          <w:tcPr>
            <w:tcW w:w="1805" w:type="dxa"/>
            <w:shd w:val="solid" w:color="FFFFFF" w:fill="auto"/>
            <w:vAlign w:val="bottom"/>
          </w:tcPr>
          <w:p w14:paraId="52CD8FA3" w14:textId="77E79702"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184,554</w:t>
            </w:r>
          </w:p>
        </w:tc>
        <w:tc>
          <w:tcPr>
            <w:tcW w:w="1410" w:type="dxa"/>
            <w:shd w:val="solid" w:color="FFFFFF" w:fill="auto"/>
            <w:vAlign w:val="bottom"/>
          </w:tcPr>
          <w:p w14:paraId="772285DA" w14:textId="7483CD57"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191,897</w:t>
            </w:r>
          </w:p>
        </w:tc>
        <w:tc>
          <w:tcPr>
            <w:tcW w:w="1701" w:type="dxa"/>
            <w:shd w:val="solid" w:color="FFFFFF" w:fill="auto"/>
            <w:vAlign w:val="bottom"/>
          </w:tcPr>
          <w:p w14:paraId="03A5A3B4" w14:textId="5CEEF36A"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4.0%</w:t>
            </w:r>
          </w:p>
        </w:tc>
        <w:tc>
          <w:tcPr>
            <w:tcW w:w="1276" w:type="dxa"/>
            <w:shd w:val="solid" w:color="FFFFFF" w:fill="auto"/>
            <w:vAlign w:val="bottom"/>
          </w:tcPr>
          <w:p w14:paraId="1D2ADF58" w14:textId="7278EB71"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8</w:t>
            </w:r>
          </w:p>
        </w:tc>
        <w:tc>
          <w:tcPr>
            <w:tcW w:w="2835" w:type="dxa"/>
            <w:shd w:val="solid" w:color="FFFFFF" w:fill="auto"/>
            <w:vAlign w:val="bottom"/>
          </w:tcPr>
          <w:p w14:paraId="3E24D3C4" w14:textId="740E79BD"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sz w:val="20"/>
              </w:rPr>
              <w:t>8,775</w:t>
            </w:r>
          </w:p>
        </w:tc>
      </w:tr>
      <w:tr w:rsidR="000574FE" w:rsidRPr="004E20AE" w14:paraId="09FC409A" w14:textId="77777777" w:rsidTr="003D6721">
        <w:trPr>
          <w:trHeight w:val="259"/>
        </w:trPr>
        <w:tc>
          <w:tcPr>
            <w:tcW w:w="2455" w:type="dxa"/>
            <w:shd w:val="solid" w:color="FFFFFF" w:fill="auto"/>
            <w:vAlign w:val="center"/>
          </w:tcPr>
          <w:p w14:paraId="23E54AAE" w14:textId="77777777" w:rsidR="000574FE" w:rsidRPr="004E20AE" w:rsidRDefault="000574FE" w:rsidP="000574FE">
            <w:pPr>
              <w:autoSpaceDE w:val="0"/>
              <w:autoSpaceDN w:val="0"/>
              <w:adjustRightInd w:val="0"/>
              <w:rPr>
                <w:rFonts w:ascii="Arial" w:hAnsi="Arial" w:cs="Arial"/>
                <w:sz w:val="20"/>
                <w:lang w:eastAsia="en-GB"/>
              </w:rPr>
            </w:pPr>
            <w:r w:rsidRPr="004E20AE">
              <w:rPr>
                <w:rFonts w:ascii="Arial" w:hAnsi="Arial" w:cs="Arial"/>
                <w:sz w:val="20"/>
                <w:lang w:eastAsia="en-GB"/>
              </w:rPr>
              <w:t>Ceredigion</w:t>
            </w:r>
          </w:p>
        </w:tc>
        <w:tc>
          <w:tcPr>
            <w:tcW w:w="1805" w:type="dxa"/>
            <w:shd w:val="solid" w:color="FFFFFF" w:fill="auto"/>
            <w:vAlign w:val="bottom"/>
          </w:tcPr>
          <w:p w14:paraId="6AC52602" w14:textId="31DF98B9"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107,545</w:t>
            </w:r>
          </w:p>
        </w:tc>
        <w:tc>
          <w:tcPr>
            <w:tcW w:w="1410" w:type="dxa"/>
            <w:shd w:val="solid" w:color="FFFFFF" w:fill="auto"/>
            <w:vAlign w:val="bottom"/>
          </w:tcPr>
          <w:p w14:paraId="4CB1A79D" w14:textId="0E13EDA4"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109,658</w:t>
            </w:r>
          </w:p>
        </w:tc>
        <w:tc>
          <w:tcPr>
            <w:tcW w:w="1701" w:type="dxa"/>
            <w:shd w:val="solid" w:color="FFFFFF" w:fill="auto"/>
            <w:vAlign w:val="bottom"/>
          </w:tcPr>
          <w:p w14:paraId="5480D829" w14:textId="6AB7ADFD"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2.0%</w:t>
            </w:r>
          </w:p>
        </w:tc>
        <w:tc>
          <w:tcPr>
            <w:tcW w:w="1276" w:type="dxa"/>
            <w:shd w:val="solid" w:color="FFFFFF" w:fill="auto"/>
            <w:vAlign w:val="bottom"/>
          </w:tcPr>
          <w:p w14:paraId="6572E44D" w14:textId="60225954"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22</w:t>
            </w:r>
          </w:p>
        </w:tc>
        <w:tc>
          <w:tcPr>
            <w:tcW w:w="2835" w:type="dxa"/>
            <w:shd w:val="solid" w:color="FFFFFF" w:fill="auto"/>
            <w:vAlign w:val="bottom"/>
          </w:tcPr>
          <w:p w14:paraId="292BA240" w14:textId="302305A3"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sz w:val="20"/>
              </w:rPr>
              <w:t>5,122</w:t>
            </w:r>
          </w:p>
        </w:tc>
      </w:tr>
      <w:tr w:rsidR="000574FE" w:rsidRPr="004E20AE" w14:paraId="4BB5ABEA" w14:textId="77777777" w:rsidTr="003D6721">
        <w:trPr>
          <w:trHeight w:val="259"/>
        </w:trPr>
        <w:tc>
          <w:tcPr>
            <w:tcW w:w="2455" w:type="dxa"/>
            <w:shd w:val="solid" w:color="FFFFFF" w:fill="auto"/>
            <w:vAlign w:val="center"/>
          </w:tcPr>
          <w:p w14:paraId="2D471522" w14:textId="77777777" w:rsidR="000574FE" w:rsidRPr="004E20AE" w:rsidRDefault="000574FE" w:rsidP="000574FE">
            <w:pPr>
              <w:autoSpaceDE w:val="0"/>
              <w:autoSpaceDN w:val="0"/>
              <w:adjustRightInd w:val="0"/>
              <w:rPr>
                <w:rFonts w:ascii="Arial" w:hAnsi="Arial" w:cs="Arial"/>
                <w:sz w:val="20"/>
                <w:lang w:eastAsia="en-GB"/>
              </w:rPr>
            </w:pPr>
            <w:r w:rsidRPr="004E20AE">
              <w:rPr>
                <w:rFonts w:ascii="Arial" w:hAnsi="Arial" w:cs="Arial"/>
                <w:sz w:val="20"/>
                <w:lang w:eastAsia="en-GB"/>
              </w:rPr>
              <w:t>Pembrokeshire</w:t>
            </w:r>
          </w:p>
        </w:tc>
        <w:tc>
          <w:tcPr>
            <w:tcW w:w="1805" w:type="dxa"/>
            <w:shd w:val="solid" w:color="FFFFFF" w:fill="auto"/>
            <w:vAlign w:val="bottom"/>
          </w:tcPr>
          <w:p w14:paraId="4CFDCEA9" w14:textId="233073DA"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172,502</w:t>
            </w:r>
          </w:p>
        </w:tc>
        <w:tc>
          <w:tcPr>
            <w:tcW w:w="1410" w:type="dxa"/>
            <w:shd w:val="solid" w:color="FFFFFF" w:fill="auto"/>
            <w:vAlign w:val="bottom"/>
          </w:tcPr>
          <w:p w14:paraId="34BBDE0F" w14:textId="18823696"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179,387</w:t>
            </w:r>
          </w:p>
        </w:tc>
        <w:tc>
          <w:tcPr>
            <w:tcW w:w="1701" w:type="dxa"/>
            <w:shd w:val="solid" w:color="FFFFFF" w:fill="auto"/>
            <w:vAlign w:val="bottom"/>
          </w:tcPr>
          <w:p w14:paraId="68EDD459" w14:textId="7F11912F"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4.0%</w:t>
            </w:r>
          </w:p>
        </w:tc>
        <w:tc>
          <w:tcPr>
            <w:tcW w:w="1276" w:type="dxa"/>
            <w:shd w:val="solid" w:color="FFFFFF" w:fill="auto"/>
            <w:vAlign w:val="bottom"/>
          </w:tcPr>
          <w:p w14:paraId="7CA57A41" w14:textId="7B50FB70"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7</w:t>
            </w:r>
          </w:p>
        </w:tc>
        <w:tc>
          <w:tcPr>
            <w:tcW w:w="2835" w:type="dxa"/>
            <w:shd w:val="solid" w:color="FFFFFF" w:fill="auto"/>
            <w:vAlign w:val="bottom"/>
          </w:tcPr>
          <w:p w14:paraId="60C39EF3" w14:textId="6134042E"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sz w:val="20"/>
              </w:rPr>
              <w:t>8,187</w:t>
            </w:r>
          </w:p>
        </w:tc>
      </w:tr>
      <w:tr w:rsidR="000574FE" w:rsidRPr="004E20AE" w14:paraId="707B0857" w14:textId="77777777" w:rsidTr="003D6721">
        <w:trPr>
          <w:trHeight w:val="259"/>
        </w:trPr>
        <w:tc>
          <w:tcPr>
            <w:tcW w:w="2455" w:type="dxa"/>
            <w:shd w:val="solid" w:color="FFFFFF" w:fill="auto"/>
            <w:vAlign w:val="center"/>
          </w:tcPr>
          <w:p w14:paraId="13910F78" w14:textId="77777777" w:rsidR="000574FE" w:rsidRPr="004E20AE" w:rsidRDefault="000574FE" w:rsidP="000574FE">
            <w:pPr>
              <w:autoSpaceDE w:val="0"/>
              <w:autoSpaceDN w:val="0"/>
              <w:adjustRightInd w:val="0"/>
              <w:rPr>
                <w:rFonts w:ascii="Arial" w:hAnsi="Arial" w:cs="Arial"/>
                <w:sz w:val="20"/>
                <w:lang w:eastAsia="en-GB"/>
              </w:rPr>
            </w:pPr>
            <w:r w:rsidRPr="004E20AE">
              <w:rPr>
                <w:rFonts w:ascii="Arial" w:hAnsi="Arial" w:cs="Arial"/>
                <w:sz w:val="20"/>
                <w:lang w:eastAsia="en-GB"/>
              </w:rPr>
              <w:t>Carmarthenshire</w:t>
            </w:r>
          </w:p>
        </w:tc>
        <w:tc>
          <w:tcPr>
            <w:tcW w:w="1805" w:type="dxa"/>
            <w:shd w:val="solid" w:color="FFFFFF" w:fill="auto"/>
            <w:vAlign w:val="bottom"/>
          </w:tcPr>
          <w:p w14:paraId="2B82830E" w14:textId="6B9AD13B"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274,355</w:t>
            </w:r>
          </w:p>
        </w:tc>
        <w:tc>
          <w:tcPr>
            <w:tcW w:w="1410" w:type="dxa"/>
            <w:shd w:val="solid" w:color="FFFFFF" w:fill="auto"/>
            <w:vAlign w:val="bottom"/>
          </w:tcPr>
          <w:p w14:paraId="05CE9A06" w14:textId="5B14EB81"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284,820</w:t>
            </w:r>
          </w:p>
        </w:tc>
        <w:tc>
          <w:tcPr>
            <w:tcW w:w="1701" w:type="dxa"/>
            <w:shd w:val="solid" w:color="FFFFFF" w:fill="auto"/>
            <w:vAlign w:val="bottom"/>
          </w:tcPr>
          <w:p w14:paraId="733960BB" w14:textId="55F07817"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3.8%</w:t>
            </w:r>
          </w:p>
        </w:tc>
        <w:tc>
          <w:tcPr>
            <w:tcW w:w="1276" w:type="dxa"/>
            <w:shd w:val="solid" w:color="FFFFFF" w:fill="auto"/>
            <w:vAlign w:val="bottom"/>
          </w:tcPr>
          <w:p w14:paraId="035C6361" w14:textId="40C8A0AF"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13</w:t>
            </w:r>
          </w:p>
        </w:tc>
        <w:tc>
          <w:tcPr>
            <w:tcW w:w="2835" w:type="dxa"/>
            <w:shd w:val="solid" w:color="FFFFFF" w:fill="auto"/>
            <w:vAlign w:val="bottom"/>
          </w:tcPr>
          <w:p w14:paraId="360B7457" w14:textId="154731A5"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sz w:val="20"/>
              </w:rPr>
              <w:t>13,996</w:t>
            </w:r>
          </w:p>
        </w:tc>
      </w:tr>
      <w:tr w:rsidR="000574FE" w:rsidRPr="004E20AE" w14:paraId="30D8E4E7" w14:textId="77777777" w:rsidTr="003D6721">
        <w:trPr>
          <w:trHeight w:val="259"/>
        </w:trPr>
        <w:tc>
          <w:tcPr>
            <w:tcW w:w="2455" w:type="dxa"/>
            <w:shd w:val="solid" w:color="FFFFFF" w:fill="auto"/>
            <w:vAlign w:val="center"/>
          </w:tcPr>
          <w:p w14:paraId="3AFBF089" w14:textId="77777777" w:rsidR="000574FE" w:rsidRPr="004E20AE" w:rsidRDefault="000574FE" w:rsidP="000574FE">
            <w:pPr>
              <w:autoSpaceDE w:val="0"/>
              <w:autoSpaceDN w:val="0"/>
              <w:adjustRightInd w:val="0"/>
              <w:rPr>
                <w:rFonts w:ascii="Arial" w:hAnsi="Arial" w:cs="Arial"/>
                <w:sz w:val="20"/>
                <w:lang w:eastAsia="en-GB"/>
              </w:rPr>
            </w:pPr>
            <w:r w:rsidRPr="004E20AE">
              <w:rPr>
                <w:rFonts w:ascii="Arial" w:hAnsi="Arial" w:cs="Arial"/>
                <w:sz w:val="20"/>
                <w:lang w:eastAsia="en-GB"/>
              </w:rPr>
              <w:t>Swansea</w:t>
            </w:r>
          </w:p>
        </w:tc>
        <w:tc>
          <w:tcPr>
            <w:tcW w:w="1805" w:type="dxa"/>
            <w:shd w:val="solid" w:color="FFFFFF" w:fill="auto"/>
            <w:vAlign w:val="bottom"/>
          </w:tcPr>
          <w:p w14:paraId="48F4F300" w14:textId="62C34D9F"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339,445</w:t>
            </w:r>
          </w:p>
        </w:tc>
        <w:tc>
          <w:tcPr>
            <w:tcW w:w="1410" w:type="dxa"/>
            <w:shd w:val="solid" w:color="FFFFFF" w:fill="auto"/>
            <w:vAlign w:val="bottom"/>
          </w:tcPr>
          <w:p w14:paraId="227AF8CC" w14:textId="0863EF60"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352,642</w:t>
            </w:r>
          </w:p>
        </w:tc>
        <w:tc>
          <w:tcPr>
            <w:tcW w:w="1701" w:type="dxa"/>
            <w:shd w:val="solid" w:color="FFFFFF" w:fill="auto"/>
            <w:vAlign w:val="bottom"/>
          </w:tcPr>
          <w:p w14:paraId="4BD4D41D" w14:textId="65FBC058"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3.9%</w:t>
            </w:r>
          </w:p>
        </w:tc>
        <w:tc>
          <w:tcPr>
            <w:tcW w:w="1276" w:type="dxa"/>
            <w:shd w:val="solid" w:color="FFFFFF" w:fill="auto"/>
            <w:vAlign w:val="bottom"/>
          </w:tcPr>
          <w:p w14:paraId="531481AD" w14:textId="1E92D488"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10</w:t>
            </w:r>
          </w:p>
        </w:tc>
        <w:tc>
          <w:tcPr>
            <w:tcW w:w="2835" w:type="dxa"/>
            <w:shd w:val="solid" w:color="FFFFFF" w:fill="auto"/>
            <w:vAlign w:val="bottom"/>
          </w:tcPr>
          <w:p w14:paraId="5A2AA3C0" w14:textId="5CA7A1FE"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sz w:val="20"/>
              </w:rPr>
              <w:t>19,264</w:t>
            </w:r>
          </w:p>
        </w:tc>
      </w:tr>
      <w:tr w:rsidR="000574FE" w:rsidRPr="004E20AE" w14:paraId="48CBC065" w14:textId="77777777" w:rsidTr="003D6721">
        <w:trPr>
          <w:trHeight w:val="259"/>
        </w:trPr>
        <w:tc>
          <w:tcPr>
            <w:tcW w:w="2455" w:type="dxa"/>
            <w:shd w:val="solid" w:color="FFFFFF" w:fill="auto"/>
            <w:vAlign w:val="center"/>
          </w:tcPr>
          <w:p w14:paraId="0BD237D4" w14:textId="77777777" w:rsidR="000574FE" w:rsidRPr="004E20AE" w:rsidRDefault="000574FE" w:rsidP="000574FE">
            <w:pPr>
              <w:autoSpaceDE w:val="0"/>
              <w:autoSpaceDN w:val="0"/>
              <w:adjustRightInd w:val="0"/>
              <w:rPr>
                <w:rFonts w:ascii="Arial" w:hAnsi="Arial" w:cs="Arial"/>
                <w:sz w:val="20"/>
                <w:lang w:eastAsia="en-GB"/>
              </w:rPr>
            </w:pPr>
            <w:r w:rsidRPr="004E20AE">
              <w:rPr>
                <w:rFonts w:ascii="Arial" w:hAnsi="Arial" w:cs="Arial"/>
                <w:sz w:val="20"/>
                <w:lang w:eastAsia="en-GB"/>
              </w:rPr>
              <w:t>Neath Port Talbot</w:t>
            </w:r>
          </w:p>
        </w:tc>
        <w:tc>
          <w:tcPr>
            <w:tcW w:w="1805" w:type="dxa"/>
            <w:shd w:val="solid" w:color="FFFFFF" w:fill="auto"/>
            <w:vAlign w:val="bottom"/>
          </w:tcPr>
          <w:p w14:paraId="1A743B48" w14:textId="176952B7"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227,198</w:t>
            </w:r>
          </w:p>
        </w:tc>
        <w:tc>
          <w:tcPr>
            <w:tcW w:w="1410" w:type="dxa"/>
            <w:shd w:val="solid" w:color="FFFFFF" w:fill="auto"/>
            <w:vAlign w:val="bottom"/>
          </w:tcPr>
          <w:p w14:paraId="412744FA" w14:textId="26F9C08F"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236,680</w:t>
            </w:r>
          </w:p>
        </w:tc>
        <w:tc>
          <w:tcPr>
            <w:tcW w:w="1701" w:type="dxa"/>
            <w:shd w:val="solid" w:color="FFFFFF" w:fill="auto"/>
            <w:vAlign w:val="bottom"/>
          </w:tcPr>
          <w:p w14:paraId="546FA369" w14:textId="00E2360E"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4.2%</w:t>
            </w:r>
          </w:p>
        </w:tc>
        <w:tc>
          <w:tcPr>
            <w:tcW w:w="1276" w:type="dxa"/>
            <w:shd w:val="solid" w:color="FFFFFF" w:fill="auto"/>
            <w:vAlign w:val="bottom"/>
          </w:tcPr>
          <w:p w14:paraId="0A094AAF" w14:textId="733C64AB"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6</w:t>
            </w:r>
          </w:p>
        </w:tc>
        <w:tc>
          <w:tcPr>
            <w:tcW w:w="2835" w:type="dxa"/>
            <w:shd w:val="solid" w:color="FFFFFF" w:fill="auto"/>
            <w:vAlign w:val="bottom"/>
          </w:tcPr>
          <w:p w14:paraId="322B78F3" w14:textId="2F7E0A67"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sz w:val="20"/>
              </w:rPr>
              <w:t>15,977</w:t>
            </w:r>
          </w:p>
        </w:tc>
      </w:tr>
      <w:tr w:rsidR="000574FE" w:rsidRPr="004E20AE" w14:paraId="435030D6" w14:textId="77777777" w:rsidTr="003D6721">
        <w:trPr>
          <w:trHeight w:val="259"/>
        </w:trPr>
        <w:tc>
          <w:tcPr>
            <w:tcW w:w="2455" w:type="dxa"/>
            <w:shd w:val="solid" w:color="FFFFFF" w:fill="auto"/>
            <w:vAlign w:val="center"/>
          </w:tcPr>
          <w:p w14:paraId="4BA0AC6C" w14:textId="77777777" w:rsidR="000574FE" w:rsidRPr="004E20AE" w:rsidRDefault="000574FE" w:rsidP="000574FE">
            <w:pPr>
              <w:autoSpaceDE w:val="0"/>
              <w:autoSpaceDN w:val="0"/>
              <w:adjustRightInd w:val="0"/>
              <w:rPr>
                <w:rFonts w:ascii="Arial" w:hAnsi="Arial" w:cs="Arial"/>
                <w:sz w:val="20"/>
                <w:lang w:eastAsia="en-GB"/>
              </w:rPr>
            </w:pPr>
            <w:r w:rsidRPr="004E20AE">
              <w:rPr>
                <w:rFonts w:ascii="Arial" w:hAnsi="Arial" w:cs="Arial"/>
                <w:sz w:val="20"/>
                <w:lang w:eastAsia="en-GB"/>
              </w:rPr>
              <w:t>Bridgend</w:t>
            </w:r>
          </w:p>
        </w:tc>
        <w:tc>
          <w:tcPr>
            <w:tcW w:w="1805" w:type="dxa"/>
            <w:shd w:val="solid" w:color="FFFFFF" w:fill="auto"/>
            <w:vAlign w:val="bottom"/>
          </w:tcPr>
          <w:p w14:paraId="168E0D2A" w14:textId="3FF8DDE6"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203,540</w:t>
            </w:r>
          </w:p>
        </w:tc>
        <w:tc>
          <w:tcPr>
            <w:tcW w:w="1410" w:type="dxa"/>
            <w:shd w:val="solid" w:color="FFFFFF" w:fill="auto"/>
            <w:vAlign w:val="bottom"/>
          </w:tcPr>
          <w:p w14:paraId="228730BA" w14:textId="49B025AD"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212,192</w:t>
            </w:r>
          </w:p>
        </w:tc>
        <w:tc>
          <w:tcPr>
            <w:tcW w:w="1701" w:type="dxa"/>
            <w:shd w:val="solid" w:color="FFFFFF" w:fill="auto"/>
            <w:vAlign w:val="bottom"/>
          </w:tcPr>
          <w:p w14:paraId="3B439D3C" w14:textId="2027FDC5"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4.3%</w:t>
            </w:r>
          </w:p>
        </w:tc>
        <w:tc>
          <w:tcPr>
            <w:tcW w:w="1276" w:type="dxa"/>
            <w:shd w:val="solid" w:color="FFFFFF" w:fill="auto"/>
            <w:vAlign w:val="bottom"/>
          </w:tcPr>
          <w:p w14:paraId="47455025" w14:textId="5CBBE3E2"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5</w:t>
            </w:r>
          </w:p>
        </w:tc>
        <w:tc>
          <w:tcPr>
            <w:tcW w:w="2835" w:type="dxa"/>
            <w:shd w:val="solid" w:color="FFFFFF" w:fill="auto"/>
            <w:vAlign w:val="bottom"/>
          </w:tcPr>
          <w:p w14:paraId="7BC4ADE5" w14:textId="71469A48"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sz w:val="20"/>
              </w:rPr>
              <w:t>13,088</w:t>
            </w:r>
          </w:p>
        </w:tc>
      </w:tr>
      <w:tr w:rsidR="000574FE" w:rsidRPr="004E20AE" w14:paraId="5823C8F8" w14:textId="77777777" w:rsidTr="003D6721">
        <w:trPr>
          <w:trHeight w:val="259"/>
        </w:trPr>
        <w:tc>
          <w:tcPr>
            <w:tcW w:w="2455" w:type="dxa"/>
            <w:shd w:val="solid" w:color="FFFFFF" w:fill="auto"/>
            <w:vAlign w:val="center"/>
          </w:tcPr>
          <w:p w14:paraId="766E6B50" w14:textId="77777777" w:rsidR="000574FE" w:rsidRPr="004E20AE" w:rsidRDefault="000574FE" w:rsidP="000574FE">
            <w:pPr>
              <w:autoSpaceDE w:val="0"/>
              <w:autoSpaceDN w:val="0"/>
              <w:adjustRightInd w:val="0"/>
              <w:rPr>
                <w:rFonts w:ascii="Arial" w:hAnsi="Arial" w:cs="Arial"/>
                <w:sz w:val="20"/>
                <w:lang w:eastAsia="en-GB"/>
              </w:rPr>
            </w:pPr>
            <w:r w:rsidRPr="004E20AE">
              <w:rPr>
                <w:rFonts w:ascii="Arial" w:hAnsi="Arial" w:cs="Arial"/>
                <w:sz w:val="20"/>
                <w:lang w:eastAsia="en-GB"/>
              </w:rPr>
              <w:t>The Vale Of Glamorgan</w:t>
            </w:r>
          </w:p>
        </w:tc>
        <w:tc>
          <w:tcPr>
            <w:tcW w:w="1805" w:type="dxa"/>
            <w:shd w:val="solid" w:color="FFFFFF" w:fill="auto"/>
            <w:vAlign w:val="bottom"/>
          </w:tcPr>
          <w:p w14:paraId="7F0552E6" w14:textId="59346E1F"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160,455</w:t>
            </w:r>
          </w:p>
        </w:tc>
        <w:tc>
          <w:tcPr>
            <w:tcW w:w="1410" w:type="dxa"/>
            <w:shd w:val="solid" w:color="FFFFFF" w:fill="auto"/>
            <w:vAlign w:val="bottom"/>
          </w:tcPr>
          <w:p w14:paraId="0AFE7E04" w14:textId="3B396CDE"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168,316</w:t>
            </w:r>
          </w:p>
        </w:tc>
        <w:tc>
          <w:tcPr>
            <w:tcW w:w="1701" w:type="dxa"/>
            <w:shd w:val="solid" w:color="FFFFFF" w:fill="auto"/>
            <w:vAlign w:val="bottom"/>
          </w:tcPr>
          <w:p w14:paraId="71FB4569" w14:textId="4AA5B594"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4.9%</w:t>
            </w:r>
          </w:p>
        </w:tc>
        <w:tc>
          <w:tcPr>
            <w:tcW w:w="1276" w:type="dxa"/>
            <w:shd w:val="solid" w:color="FFFFFF" w:fill="auto"/>
            <w:vAlign w:val="bottom"/>
          </w:tcPr>
          <w:p w14:paraId="3295CDB3" w14:textId="4E8F184A"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2</w:t>
            </w:r>
          </w:p>
        </w:tc>
        <w:tc>
          <w:tcPr>
            <w:tcW w:w="2835" w:type="dxa"/>
            <w:shd w:val="solid" w:color="FFFFFF" w:fill="auto"/>
            <w:vAlign w:val="bottom"/>
          </w:tcPr>
          <w:p w14:paraId="1DC63674" w14:textId="6C893908"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sz w:val="20"/>
              </w:rPr>
              <w:t>9,062</w:t>
            </w:r>
          </w:p>
        </w:tc>
      </w:tr>
      <w:tr w:rsidR="000574FE" w:rsidRPr="004E20AE" w14:paraId="692D559F" w14:textId="77777777" w:rsidTr="003D6721">
        <w:trPr>
          <w:trHeight w:val="259"/>
        </w:trPr>
        <w:tc>
          <w:tcPr>
            <w:tcW w:w="2455" w:type="dxa"/>
            <w:shd w:val="solid" w:color="FFFFFF" w:fill="auto"/>
            <w:vAlign w:val="center"/>
          </w:tcPr>
          <w:p w14:paraId="6FE1C136" w14:textId="77777777" w:rsidR="000574FE" w:rsidRPr="004E20AE" w:rsidRDefault="000574FE" w:rsidP="000574FE">
            <w:pPr>
              <w:autoSpaceDE w:val="0"/>
              <w:autoSpaceDN w:val="0"/>
              <w:adjustRightInd w:val="0"/>
              <w:rPr>
                <w:rFonts w:ascii="Arial" w:hAnsi="Arial" w:cs="Arial"/>
                <w:sz w:val="20"/>
                <w:lang w:eastAsia="en-GB"/>
              </w:rPr>
            </w:pPr>
            <w:r w:rsidRPr="004E20AE">
              <w:rPr>
                <w:rFonts w:ascii="Arial" w:hAnsi="Arial" w:cs="Arial"/>
                <w:sz w:val="20"/>
                <w:lang w:eastAsia="en-GB"/>
              </w:rPr>
              <w:t>Rhondda Cynon Taf</w:t>
            </w:r>
          </w:p>
        </w:tc>
        <w:tc>
          <w:tcPr>
            <w:tcW w:w="1805" w:type="dxa"/>
            <w:shd w:val="solid" w:color="FFFFFF" w:fill="auto"/>
            <w:vAlign w:val="bottom"/>
          </w:tcPr>
          <w:p w14:paraId="126277A1" w14:textId="5D245B68"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389,403</w:t>
            </w:r>
          </w:p>
        </w:tc>
        <w:tc>
          <w:tcPr>
            <w:tcW w:w="1410" w:type="dxa"/>
            <w:shd w:val="solid" w:color="FFFFFF" w:fill="auto"/>
            <w:vAlign w:val="bottom"/>
          </w:tcPr>
          <w:p w14:paraId="5400DD30" w14:textId="4D5131A2"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404,375</w:t>
            </w:r>
          </w:p>
        </w:tc>
        <w:tc>
          <w:tcPr>
            <w:tcW w:w="1701" w:type="dxa"/>
            <w:shd w:val="solid" w:color="FFFFFF" w:fill="auto"/>
            <w:vAlign w:val="bottom"/>
          </w:tcPr>
          <w:p w14:paraId="6858FC9F" w14:textId="257EACAF"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3.8%</w:t>
            </w:r>
          </w:p>
        </w:tc>
        <w:tc>
          <w:tcPr>
            <w:tcW w:w="1276" w:type="dxa"/>
            <w:shd w:val="solid" w:color="FFFFFF" w:fill="auto"/>
            <w:vAlign w:val="bottom"/>
          </w:tcPr>
          <w:p w14:paraId="12FF3635" w14:textId="3CF6C296"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11</w:t>
            </w:r>
          </w:p>
        </w:tc>
        <w:tc>
          <w:tcPr>
            <w:tcW w:w="2835" w:type="dxa"/>
            <w:shd w:val="solid" w:color="FFFFFF" w:fill="auto"/>
            <w:vAlign w:val="bottom"/>
          </w:tcPr>
          <w:p w14:paraId="222E66E0" w14:textId="16F1FF44"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sz w:val="20"/>
              </w:rPr>
              <w:t>21,936</w:t>
            </w:r>
          </w:p>
        </w:tc>
      </w:tr>
      <w:tr w:rsidR="000574FE" w:rsidRPr="004E20AE" w14:paraId="4B4FD10F" w14:textId="77777777" w:rsidTr="003D6721">
        <w:trPr>
          <w:trHeight w:val="259"/>
        </w:trPr>
        <w:tc>
          <w:tcPr>
            <w:tcW w:w="2455" w:type="dxa"/>
            <w:shd w:val="solid" w:color="FFFFFF" w:fill="auto"/>
            <w:vAlign w:val="center"/>
          </w:tcPr>
          <w:p w14:paraId="0B3AA216" w14:textId="77777777" w:rsidR="000574FE" w:rsidRPr="004E20AE" w:rsidRDefault="000574FE" w:rsidP="000574FE">
            <w:pPr>
              <w:autoSpaceDE w:val="0"/>
              <w:autoSpaceDN w:val="0"/>
              <w:adjustRightInd w:val="0"/>
              <w:rPr>
                <w:rFonts w:ascii="Arial" w:hAnsi="Arial" w:cs="Arial"/>
                <w:sz w:val="20"/>
                <w:lang w:eastAsia="en-GB"/>
              </w:rPr>
            </w:pPr>
            <w:r w:rsidRPr="004E20AE">
              <w:rPr>
                <w:rFonts w:ascii="Arial" w:hAnsi="Arial" w:cs="Arial"/>
                <w:sz w:val="20"/>
                <w:lang w:eastAsia="en-GB"/>
              </w:rPr>
              <w:t>Merthyr Tydfil</w:t>
            </w:r>
          </w:p>
        </w:tc>
        <w:tc>
          <w:tcPr>
            <w:tcW w:w="1805" w:type="dxa"/>
            <w:shd w:val="solid" w:color="FFFFFF" w:fill="auto"/>
            <w:vAlign w:val="bottom"/>
          </w:tcPr>
          <w:p w14:paraId="487FC15C" w14:textId="0B7C6220"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96,973</w:t>
            </w:r>
          </w:p>
        </w:tc>
        <w:tc>
          <w:tcPr>
            <w:tcW w:w="1410" w:type="dxa"/>
            <w:shd w:val="solid" w:color="FFFFFF" w:fill="auto"/>
            <w:vAlign w:val="bottom"/>
          </w:tcPr>
          <w:p w14:paraId="277D3D72" w14:textId="2E423D21"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101,476</w:t>
            </w:r>
          </w:p>
        </w:tc>
        <w:tc>
          <w:tcPr>
            <w:tcW w:w="1701" w:type="dxa"/>
            <w:shd w:val="solid" w:color="FFFFFF" w:fill="auto"/>
            <w:vAlign w:val="bottom"/>
          </w:tcPr>
          <w:p w14:paraId="5E13C6B6" w14:textId="0BBA67E7"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4.6%</w:t>
            </w:r>
          </w:p>
        </w:tc>
        <w:tc>
          <w:tcPr>
            <w:tcW w:w="1276" w:type="dxa"/>
            <w:shd w:val="solid" w:color="FFFFFF" w:fill="auto"/>
            <w:vAlign w:val="bottom"/>
          </w:tcPr>
          <w:p w14:paraId="1E9A5B9A" w14:textId="7B3A88C2"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3</w:t>
            </w:r>
          </w:p>
        </w:tc>
        <w:tc>
          <w:tcPr>
            <w:tcW w:w="2835" w:type="dxa"/>
            <w:shd w:val="solid" w:color="FFFFFF" w:fill="auto"/>
            <w:vAlign w:val="bottom"/>
          </w:tcPr>
          <w:p w14:paraId="27ADA2EB" w14:textId="488EC9B7"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sz w:val="20"/>
              </w:rPr>
              <w:t>5,595</w:t>
            </w:r>
          </w:p>
        </w:tc>
      </w:tr>
      <w:tr w:rsidR="000574FE" w:rsidRPr="004E20AE" w14:paraId="0B1309FB" w14:textId="77777777" w:rsidTr="003D6721">
        <w:trPr>
          <w:trHeight w:val="259"/>
        </w:trPr>
        <w:tc>
          <w:tcPr>
            <w:tcW w:w="2455" w:type="dxa"/>
            <w:shd w:val="solid" w:color="FFFFFF" w:fill="auto"/>
            <w:vAlign w:val="center"/>
          </w:tcPr>
          <w:p w14:paraId="5014156C" w14:textId="77777777" w:rsidR="000574FE" w:rsidRPr="004E20AE" w:rsidRDefault="000574FE" w:rsidP="000574FE">
            <w:pPr>
              <w:autoSpaceDE w:val="0"/>
              <w:autoSpaceDN w:val="0"/>
              <w:adjustRightInd w:val="0"/>
              <w:rPr>
                <w:rFonts w:ascii="Arial" w:hAnsi="Arial" w:cs="Arial"/>
                <w:sz w:val="20"/>
                <w:lang w:eastAsia="en-GB"/>
              </w:rPr>
            </w:pPr>
            <w:r w:rsidRPr="004E20AE">
              <w:rPr>
                <w:rFonts w:ascii="Arial" w:hAnsi="Arial" w:cs="Arial"/>
                <w:sz w:val="20"/>
                <w:lang w:eastAsia="en-GB"/>
              </w:rPr>
              <w:t>Caerphilly</w:t>
            </w:r>
          </w:p>
        </w:tc>
        <w:tc>
          <w:tcPr>
            <w:tcW w:w="1805" w:type="dxa"/>
            <w:shd w:val="solid" w:color="FFFFFF" w:fill="auto"/>
            <w:vAlign w:val="bottom"/>
          </w:tcPr>
          <w:p w14:paraId="24F7ACE4" w14:textId="01BE7B4F"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283,708</w:t>
            </w:r>
          </w:p>
        </w:tc>
        <w:tc>
          <w:tcPr>
            <w:tcW w:w="1410" w:type="dxa"/>
            <w:shd w:val="solid" w:color="FFFFFF" w:fill="auto"/>
            <w:vAlign w:val="bottom"/>
          </w:tcPr>
          <w:p w14:paraId="1DB564AD" w14:textId="514EB4FF"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292,367</w:t>
            </w:r>
          </w:p>
        </w:tc>
        <w:tc>
          <w:tcPr>
            <w:tcW w:w="1701" w:type="dxa"/>
            <w:shd w:val="solid" w:color="FFFFFF" w:fill="auto"/>
            <w:vAlign w:val="bottom"/>
          </w:tcPr>
          <w:p w14:paraId="0EF87C21" w14:textId="2EAC955F"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3.1%</w:t>
            </w:r>
          </w:p>
        </w:tc>
        <w:tc>
          <w:tcPr>
            <w:tcW w:w="1276" w:type="dxa"/>
            <w:shd w:val="solid" w:color="FFFFFF" w:fill="auto"/>
            <w:vAlign w:val="bottom"/>
          </w:tcPr>
          <w:p w14:paraId="4746586E" w14:textId="27D9F290"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20</w:t>
            </w:r>
          </w:p>
        </w:tc>
        <w:tc>
          <w:tcPr>
            <w:tcW w:w="2835" w:type="dxa"/>
            <w:shd w:val="solid" w:color="FFFFFF" w:fill="auto"/>
            <w:vAlign w:val="bottom"/>
          </w:tcPr>
          <w:p w14:paraId="5B3493B2" w14:textId="4E85249B"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sz w:val="20"/>
              </w:rPr>
              <w:t>12,372</w:t>
            </w:r>
          </w:p>
        </w:tc>
      </w:tr>
      <w:tr w:rsidR="000574FE" w:rsidRPr="004E20AE" w14:paraId="7B51FF19" w14:textId="77777777" w:rsidTr="003D6721">
        <w:trPr>
          <w:trHeight w:val="259"/>
        </w:trPr>
        <w:tc>
          <w:tcPr>
            <w:tcW w:w="2455" w:type="dxa"/>
            <w:shd w:val="solid" w:color="FFFFFF" w:fill="auto"/>
            <w:vAlign w:val="center"/>
          </w:tcPr>
          <w:p w14:paraId="74728E63" w14:textId="77777777" w:rsidR="000574FE" w:rsidRPr="004E20AE" w:rsidRDefault="000574FE" w:rsidP="000574FE">
            <w:pPr>
              <w:autoSpaceDE w:val="0"/>
              <w:autoSpaceDN w:val="0"/>
              <w:adjustRightInd w:val="0"/>
              <w:rPr>
                <w:rFonts w:ascii="Arial" w:hAnsi="Arial" w:cs="Arial"/>
                <w:sz w:val="20"/>
                <w:lang w:eastAsia="en-GB"/>
              </w:rPr>
            </w:pPr>
            <w:r w:rsidRPr="004E20AE">
              <w:rPr>
                <w:rFonts w:ascii="Arial" w:hAnsi="Arial" w:cs="Arial"/>
                <w:sz w:val="20"/>
                <w:lang w:eastAsia="en-GB"/>
              </w:rPr>
              <w:t>Blaenau Gwent</w:t>
            </w:r>
          </w:p>
        </w:tc>
        <w:tc>
          <w:tcPr>
            <w:tcW w:w="1805" w:type="dxa"/>
            <w:shd w:val="solid" w:color="FFFFFF" w:fill="auto"/>
            <w:vAlign w:val="bottom"/>
          </w:tcPr>
          <w:p w14:paraId="09B2B440" w14:textId="5BF9C378"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116,112</w:t>
            </w:r>
          </w:p>
        </w:tc>
        <w:tc>
          <w:tcPr>
            <w:tcW w:w="1410" w:type="dxa"/>
            <w:shd w:val="solid" w:color="FFFFFF" w:fill="auto"/>
            <w:vAlign w:val="bottom"/>
          </w:tcPr>
          <w:p w14:paraId="752DFE22" w14:textId="503C6CA9"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120,361</w:t>
            </w:r>
          </w:p>
        </w:tc>
        <w:tc>
          <w:tcPr>
            <w:tcW w:w="1701" w:type="dxa"/>
            <w:shd w:val="solid" w:color="FFFFFF" w:fill="auto"/>
            <w:vAlign w:val="bottom"/>
          </w:tcPr>
          <w:p w14:paraId="1704297A" w14:textId="32E572CF"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3.7%</w:t>
            </w:r>
          </w:p>
        </w:tc>
        <w:tc>
          <w:tcPr>
            <w:tcW w:w="1276" w:type="dxa"/>
            <w:shd w:val="solid" w:color="FFFFFF" w:fill="auto"/>
            <w:vAlign w:val="bottom"/>
          </w:tcPr>
          <w:p w14:paraId="4CF24FDB" w14:textId="4FEBA1C8"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15</w:t>
            </w:r>
          </w:p>
        </w:tc>
        <w:tc>
          <w:tcPr>
            <w:tcW w:w="2835" w:type="dxa"/>
            <w:shd w:val="solid" w:color="FFFFFF" w:fill="auto"/>
            <w:vAlign w:val="bottom"/>
          </w:tcPr>
          <w:p w14:paraId="03309F0A" w14:textId="1F4EB679"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sz w:val="20"/>
              </w:rPr>
              <w:t>8,067</w:t>
            </w:r>
          </w:p>
        </w:tc>
      </w:tr>
      <w:tr w:rsidR="000574FE" w:rsidRPr="004E20AE" w14:paraId="537979B5" w14:textId="77777777" w:rsidTr="003D6721">
        <w:trPr>
          <w:trHeight w:val="259"/>
        </w:trPr>
        <w:tc>
          <w:tcPr>
            <w:tcW w:w="2455" w:type="dxa"/>
            <w:shd w:val="solid" w:color="FFFFFF" w:fill="auto"/>
            <w:vAlign w:val="center"/>
          </w:tcPr>
          <w:p w14:paraId="13B45254" w14:textId="77777777" w:rsidR="000574FE" w:rsidRPr="004E20AE" w:rsidRDefault="000574FE" w:rsidP="000574FE">
            <w:pPr>
              <w:autoSpaceDE w:val="0"/>
              <w:autoSpaceDN w:val="0"/>
              <w:adjustRightInd w:val="0"/>
              <w:rPr>
                <w:rFonts w:ascii="Arial" w:hAnsi="Arial" w:cs="Arial"/>
                <w:sz w:val="20"/>
                <w:lang w:eastAsia="en-GB"/>
              </w:rPr>
            </w:pPr>
            <w:r w:rsidRPr="004E20AE">
              <w:rPr>
                <w:rFonts w:ascii="Arial" w:hAnsi="Arial" w:cs="Arial"/>
                <w:sz w:val="20"/>
                <w:lang w:eastAsia="en-GB"/>
              </w:rPr>
              <w:t>Torfaen</w:t>
            </w:r>
          </w:p>
        </w:tc>
        <w:tc>
          <w:tcPr>
            <w:tcW w:w="1805" w:type="dxa"/>
            <w:shd w:val="solid" w:color="FFFFFF" w:fill="auto"/>
            <w:vAlign w:val="bottom"/>
          </w:tcPr>
          <w:p w14:paraId="7F5BDAA5" w14:textId="23B76033"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140,308</w:t>
            </w:r>
          </w:p>
        </w:tc>
        <w:tc>
          <w:tcPr>
            <w:tcW w:w="1410" w:type="dxa"/>
            <w:shd w:val="solid" w:color="FFFFFF" w:fill="auto"/>
            <w:vAlign w:val="bottom"/>
          </w:tcPr>
          <w:p w14:paraId="0544108C" w14:textId="5538CD27"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146,340</w:t>
            </w:r>
          </w:p>
        </w:tc>
        <w:tc>
          <w:tcPr>
            <w:tcW w:w="1701" w:type="dxa"/>
            <w:shd w:val="solid" w:color="FFFFFF" w:fill="auto"/>
            <w:vAlign w:val="bottom"/>
          </w:tcPr>
          <w:p w14:paraId="48A56843" w14:textId="656EC18E"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4.3%</w:t>
            </w:r>
          </w:p>
        </w:tc>
        <w:tc>
          <w:tcPr>
            <w:tcW w:w="1276" w:type="dxa"/>
            <w:shd w:val="solid" w:color="FFFFFF" w:fill="auto"/>
            <w:vAlign w:val="bottom"/>
          </w:tcPr>
          <w:p w14:paraId="19884F67" w14:textId="2CBAEA27"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4</w:t>
            </w:r>
          </w:p>
        </w:tc>
        <w:tc>
          <w:tcPr>
            <w:tcW w:w="2835" w:type="dxa"/>
            <w:shd w:val="solid" w:color="FFFFFF" w:fill="auto"/>
            <w:vAlign w:val="bottom"/>
          </w:tcPr>
          <w:p w14:paraId="41B83942" w14:textId="04C9131C"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sz w:val="20"/>
              </w:rPr>
              <w:t>8,331</w:t>
            </w:r>
          </w:p>
        </w:tc>
      </w:tr>
      <w:tr w:rsidR="000574FE" w:rsidRPr="004E20AE" w14:paraId="26012DCA" w14:textId="77777777" w:rsidTr="003D6721">
        <w:trPr>
          <w:trHeight w:val="259"/>
        </w:trPr>
        <w:tc>
          <w:tcPr>
            <w:tcW w:w="2455" w:type="dxa"/>
            <w:shd w:val="solid" w:color="FFFFFF" w:fill="auto"/>
            <w:vAlign w:val="center"/>
          </w:tcPr>
          <w:p w14:paraId="763F01B2" w14:textId="77777777" w:rsidR="000574FE" w:rsidRPr="004E20AE" w:rsidRDefault="000574FE" w:rsidP="000574FE">
            <w:pPr>
              <w:autoSpaceDE w:val="0"/>
              <w:autoSpaceDN w:val="0"/>
              <w:adjustRightInd w:val="0"/>
              <w:rPr>
                <w:rFonts w:ascii="Arial" w:hAnsi="Arial" w:cs="Arial"/>
                <w:sz w:val="20"/>
                <w:lang w:eastAsia="en-GB"/>
              </w:rPr>
            </w:pPr>
            <w:r w:rsidRPr="004E20AE">
              <w:rPr>
                <w:rFonts w:ascii="Arial" w:hAnsi="Arial" w:cs="Arial"/>
                <w:sz w:val="20"/>
                <w:lang w:eastAsia="en-GB"/>
              </w:rPr>
              <w:t>Monmouthshire</w:t>
            </w:r>
          </w:p>
        </w:tc>
        <w:tc>
          <w:tcPr>
            <w:tcW w:w="1805" w:type="dxa"/>
            <w:shd w:val="solid" w:color="FFFFFF" w:fill="auto"/>
            <w:vAlign w:val="bottom"/>
          </w:tcPr>
          <w:p w14:paraId="76EF9469" w14:textId="06384F10"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97,673</w:t>
            </w:r>
          </w:p>
        </w:tc>
        <w:tc>
          <w:tcPr>
            <w:tcW w:w="1410" w:type="dxa"/>
            <w:shd w:val="solid" w:color="FFFFFF" w:fill="auto"/>
            <w:vAlign w:val="bottom"/>
          </w:tcPr>
          <w:p w14:paraId="0F1813D9" w14:textId="051E676B"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101,483</w:t>
            </w:r>
          </w:p>
        </w:tc>
        <w:tc>
          <w:tcPr>
            <w:tcW w:w="1701" w:type="dxa"/>
            <w:shd w:val="solid" w:color="FFFFFF" w:fill="auto"/>
            <w:vAlign w:val="bottom"/>
          </w:tcPr>
          <w:p w14:paraId="7F67987C" w14:textId="70C73727"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3.9%</w:t>
            </w:r>
          </w:p>
        </w:tc>
        <w:tc>
          <w:tcPr>
            <w:tcW w:w="1276" w:type="dxa"/>
            <w:shd w:val="solid" w:color="FFFFFF" w:fill="auto"/>
            <w:vAlign w:val="bottom"/>
          </w:tcPr>
          <w:p w14:paraId="12FC4DD3" w14:textId="662CF76C"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9</w:t>
            </w:r>
          </w:p>
        </w:tc>
        <w:tc>
          <w:tcPr>
            <w:tcW w:w="2835" w:type="dxa"/>
            <w:shd w:val="solid" w:color="FFFFFF" w:fill="auto"/>
            <w:vAlign w:val="bottom"/>
          </w:tcPr>
          <w:p w14:paraId="30A78760" w14:textId="56AED123"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sz w:val="20"/>
              </w:rPr>
              <w:t>5,753</w:t>
            </w:r>
          </w:p>
        </w:tc>
      </w:tr>
      <w:tr w:rsidR="000574FE" w:rsidRPr="004E20AE" w14:paraId="0B3E84D8" w14:textId="77777777" w:rsidTr="003D6721">
        <w:trPr>
          <w:trHeight w:val="259"/>
        </w:trPr>
        <w:tc>
          <w:tcPr>
            <w:tcW w:w="2455" w:type="dxa"/>
            <w:shd w:val="solid" w:color="FFFFFF" w:fill="auto"/>
            <w:vAlign w:val="center"/>
          </w:tcPr>
          <w:p w14:paraId="164675E7" w14:textId="77777777" w:rsidR="000574FE" w:rsidRPr="004E20AE" w:rsidRDefault="000574FE" w:rsidP="000574FE">
            <w:pPr>
              <w:autoSpaceDE w:val="0"/>
              <w:autoSpaceDN w:val="0"/>
              <w:adjustRightInd w:val="0"/>
              <w:rPr>
                <w:rFonts w:ascii="Arial" w:hAnsi="Arial" w:cs="Arial"/>
                <w:sz w:val="20"/>
                <w:lang w:eastAsia="en-GB"/>
              </w:rPr>
            </w:pPr>
            <w:r w:rsidRPr="004E20AE">
              <w:rPr>
                <w:rFonts w:ascii="Arial" w:hAnsi="Arial" w:cs="Arial"/>
                <w:sz w:val="20"/>
                <w:lang w:eastAsia="en-GB"/>
              </w:rPr>
              <w:t>Newport</w:t>
            </w:r>
          </w:p>
        </w:tc>
        <w:tc>
          <w:tcPr>
            <w:tcW w:w="1805" w:type="dxa"/>
            <w:shd w:val="solid" w:color="FFFFFF" w:fill="auto"/>
            <w:vAlign w:val="bottom"/>
          </w:tcPr>
          <w:p w14:paraId="4EEB3404" w14:textId="107FFF54"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228,000</w:t>
            </w:r>
          </w:p>
        </w:tc>
        <w:tc>
          <w:tcPr>
            <w:tcW w:w="1410" w:type="dxa"/>
            <w:shd w:val="solid" w:color="FFFFFF" w:fill="auto"/>
            <w:vAlign w:val="bottom"/>
          </w:tcPr>
          <w:p w14:paraId="147CD107" w14:textId="06C9E51D"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240,796</w:t>
            </w:r>
          </w:p>
        </w:tc>
        <w:tc>
          <w:tcPr>
            <w:tcW w:w="1701" w:type="dxa"/>
            <w:shd w:val="solid" w:color="FFFFFF" w:fill="auto"/>
            <w:vAlign w:val="bottom"/>
          </w:tcPr>
          <w:p w14:paraId="255DA48B" w14:textId="63D82E66"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5.6%</w:t>
            </w:r>
          </w:p>
        </w:tc>
        <w:tc>
          <w:tcPr>
            <w:tcW w:w="1276" w:type="dxa"/>
            <w:shd w:val="solid" w:color="FFFFFF" w:fill="auto"/>
            <w:vAlign w:val="bottom"/>
          </w:tcPr>
          <w:p w14:paraId="4548EE06" w14:textId="78C8DC80"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1</w:t>
            </w:r>
          </w:p>
        </w:tc>
        <w:tc>
          <w:tcPr>
            <w:tcW w:w="2835" w:type="dxa"/>
            <w:shd w:val="solid" w:color="FFFFFF" w:fill="auto"/>
            <w:vAlign w:val="bottom"/>
          </w:tcPr>
          <w:p w14:paraId="4BE0D454" w14:textId="2F04C810"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sz w:val="20"/>
              </w:rPr>
              <w:t>10,083</w:t>
            </w:r>
          </w:p>
        </w:tc>
      </w:tr>
      <w:tr w:rsidR="000574FE" w:rsidRPr="004E20AE" w14:paraId="26CF96B9" w14:textId="77777777" w:rsidTr="003D6721">
        <w:trPr>
          <w:trHeight w:val="259"/>
        </w:trPr>
        <w:tc>
          <w:tcPr>
            <w:tcW w:w="2455" w:type="dxa"/>
            <w:tcBorders>
              <w:bottom w:val="single" w:sz="4" w:space="0" w:color="auto"/>
            </w:tcBorders>
            <w:shd w:val="solid" w:color="FFFFFF" w:fill="auto"/>
            <w:vAlign w:val="center"/>
          </w:tcPr>
          <w:p w14:paraId="787AFC47" w14:textId="77777777" w:rsidR="000574FE" w:rsidRPr="004E20AE" w:rsidRDefault="000574FE" w:rsidP="000574FE">
            <w:pPr>
              <w:autoSpaceDE w:val="0"/>
              <w:autoSpaceDN w:val="0"/>
              <w:adjustRightInd w:val="0"/>
              <w:rPr>
                <w:rFonts w:ascii="Arial" w:hAnsi="Arial" w:cs="Arial"/>
                <w:sz w:val="20"/>
                <w:lang w:eastAsia="en-GB"/>
              </w:rPr>
            </w:pPr>
            <w:r w:rsidRPr="004E20AE">
              <w:rPr>
                <w:rFonts w:ascii="Arial" w:hAnsi="Arial" w:cs="Arial"/>
                <w:sz w:val="20"/>
                <w:lang w:eastAsia="en-GB"/>
              </w:rPr>
              <w:t>Cardiff</w:t>
            </w:r>
          </w:p>
        </w:tc>
        <w:tc>
          <w:tcPr>
            <w:tcW w:w="1805" w:type="dxa"/>
            <w:tcBorders>
              <w:bottom w:val="single" w:sz="4" w:space="0" w:color="auto"/>
            </w:tcBorders>
            <w:shd w:val="solid" w:color="FFFFFF" w:fill="auto"/>
            <w:vAlign w:val="bottom"/>
          </w:tcPr>
          <w:p w14:paraId="59E2860F" w14:textId="6A452F12"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469,913</w:t>
            </w:r>
          </w:p>
        </w:tc>
        <w:tc>
          <w:tcPr>
            <w:tcW w:w="1410" w:type="dxa"/>
            <w:tcBorders>
              <w:bottom w:val="single" w:sz="4" w:space="0" w:color="auto"/>
            </w:tcBorders>
            <w:shd w:val="solid" w:color="FFFFFF" w:fill="auto"/>
            <w:vAlign w:val="bottom"/>
          </w:tcPr>
          <w:p w14:paraId="54914079" w14:textId="35CA6BB2"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487,913</w:t>
            </w:r>
          </w:p>
        </w:tc>
        <w:tc>
          <w:tcPr>
            <w:tcW w:w="1701" w:type="dxa"/>
            <w:tcBorders>
              <w:bottom w:val="single" w:sz="4" w:space="0" w:color="auto"/>
            </w:tcBorders>
            <w:shd w:val="solid" w:color="FFFFFF" w:fill="auto"/>
            <w:vAlign w:val="bottom"/>
          </w:tcPr>
          <w:p w14:paraId="706179A2" w14:textId="77867CEA"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3.8%</w:t>
            </w:r>
          </w:p>
        </w:tc>
        <w:tc>
          <w:tcPr>
            <w:tcW w:w="1276" w:type="dxa"/>
            <w:tcBorders>
              <w:bottom w:val="single" w:sz="4" w:space="0" w:color="auto"/>
            </w:tcBorders>
            <w:shd w:val="solid" w:color="FFFFFF" w:fill="auto"/>
            <w:vAlign w:val="bottom"/>
          </w:tcPr>
          <w:p w14:paraId="782C2BD6" w14:textId="0259EB4B"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color w:val="000000"/>
                <w:sz w:val="20"/>
              </w:rPr>
              <w:t>12</w:t>
            </w:r>
          </w:p>
        </w:tc>
        <w:tc>
          <w:tcPr>
            <w:tcW w:w="2835" w:type="dxa"/>
            <w:tcBorders>
              <w:bottom w:val="single" w:sz="4" w:space="0" w:color="auto"/>
            </w:tcBorders>
            <w:shd w:val="solid" w:color="FFFFFF" w:fill="auto"/>
            <w:vAlign w:val="bottom"/>
          </w:tcPr>
          <w:p w14:paraId="33A046F9" w14:textId="58A19AD2" w:rsidR="000574FE" w:rsidRPr="004E20AE" w:rsidRDefault="000574FE" w:rsidP="000574FE">
            <w:pPr>
              <w:autoSpaceDE w:val="0"/>
              <w:autoSpaceDN w:val="0"/>
              <w:adjustRightInd w:val="0"/>
              <w:jc w:val="right"/>
              <w:rPr>
                <w:rFonts w:ascii="Arial" w:hAnsi="Arial" w:cs="Arial"/>
                <w:sz w:val="20"/>
                <w:lang w:eastAsia="en-GB"/>
              </w:rPr>
            </w:pPr>
            <w:r>
              <w:rPr>
                <w:rFonts w:ascii="Arial" w:hAnsi="Arial" w:cs="Arial"/>
                <w:sz w:val="20"/>
              </w:rPr>
              <w:t>27,934</w:t>
            </w:r>
          </w:p>
        </w:tc>
      </w:tr>
      <w:tr w:rsidR="000574FE" w:rsidRPr="004E20AE" w14:paraId="1D991948" w14:textId="77777777" w:rsidTr="003D6721">
        <w:trPr>
          <w:trHeight w:val="367"/>
        </w:trPr>
        <w:tc>
          <w:tcPr>
            <w:tcW w:w="2455" w:type="dxa"/>
            <w:tcBorders>
              <w:bottom w:val="single" w:sz="4" w:space="0" w:color="auto"/>
            </w:tcBorders>
            <w:shd w:val="solid" w:color="FFFFFF" w:fill="auto"/>
            <w:vAlign w:val="bottom"/>
          </w:tcPr>
          <w:p w14:paraId="04D61000" w14:textId="77777777" w:rsidR="000574FE" w:rsidRPr="004E20AE" w:rsidRDefault="000574FE" w:rsidP="000574FE">
            <w:pPr>
              <w:autoSpaceDE w:val="0"/>
              <w:autoSpaceDN w:val="0"/>
              <w:adjustRightInd w:val="0"/>
              <w:rPr>
                <w:rFonts w:ascii="Arial" w:hAnsi="Arial" w:cs="Arial"/>
                <w:b/>
                <w:bCs/>
                <w:sz w:val="20"/>
                <w:lang w:eastAsia="en-GB"/>
              </w:rPr>
            </w:pPr>
            <w:r w:rsidRPr="004E20AE">
              <w:rPr>
                <w:rFonts w:ascii="Arial" w:hAnsi="Arial" w:cs="Arial"/>
                <w:b/>
                <w:bCs/>
                <w:sz w:val="20"/>
                <w:lang w:eastAsia="en-GB"/>
              </w:rPr>
              <w:t>All Unitary Authorities</w:t>
            </w:r>
          </w:p>
        </w:tc>
        <w:tc>
          <w:tcPr>
            <w:tcW w:w="1805" w:type="dxa"/>
            <w:tcBorders>
              <w:bottom w:val="single" w:sz="4" w:space="0" w:color="auto"/>
            </w:tcBorders>
            <w:shd w:val="solid" w:color="FFFFFF" w:fill="auto"/>
            <w:vAlign w:val="bottom"/>
          </w:tcPr>
          <w:p w14:paraId="189800D4" w14:textId="573453E1" w:rsidR="000574FE" w:rsidRPr="004E20AE" w:rsidRDefault="000574FE" w:rsidP="000574FE">
            <w:pPr>
              <w:autoSpaceDE w:val="0"/>
              <w:autoSpaceDN w:val="0"/>
              <w:adjustRightInd w:val="0"/>
              <w:jc w:val="right"/>
              <w:rPr>
                <w:rFonts w:ascii="Arial" w:hAnsi="Arial" w:cs="Arial"/>
                <w:b/>
                <w:sz w:val="20"/>
                <w:highlight w:val="yellow"/>
                <w:lang w:eastAsia="en-GB"/>
              </w:rPr>
            </w:pPr>
            <w:r>
              <w:rPr>
                <w:rFonts w:ascii="Arial" w:hAnsi="Arial" w:cs="Arial"/>
                <w:b/>
                <w:bCs/>
                <w:color w:val="000000"/>
                <w:sz w:val="20"/>
              </w:rPr>
              <w:t>4,479,570</w:t>
            </w:r>
          </w:p>
        </w:tc>
        <w:tc>
          <w:tcPr>
            <w:tcW w:w="1410" w:type="dxa"/>
            <w:tcBorders>
              <w:bottom w:val="single" w:sz="4" w:space="0" w:color="auto"/>
            </w:tcBorders>
            <w:shd w:val="solid" w:color="FFFFFF" w:fill="auto"/>
            <w:vAlign w:val="bottom"/>
          </w:tcPr>
          <w:p w14:paraId="42ADF041" w14:textId="5419C7E7" w:rsidR="000574FE" w:rsidRPr="004E20AE" w:rsidRDefault="000574FE" w:rsidP="000574FE">
            <w:pPr>
              <w:autoSpaceDE w:val="0"/>
              <w:autoSpaceDN w:val="0"/>
              <w:adjustRightInd w:val="0"/>
              <w:jc w:val="right"/>
              <w:rPr>
                <w:rFonts w:ascii="Arial" w:hAnsi="Arial" w:cs="Arial"/>
                <w:b/>
                <w:sz w:val="20"/>
                <w:highlight w:val="yellow"/>
                <w:lang w:eastAsia="en-GB"/>
              </w:rPr>
            </w:pPr>
            <w:r>
              <w:rPr>
                <w:rFonts w:ascii="Arial" w:hAnsi="Arial" w:cs="Arial"/>
                <w:b/>
                <w:bCs/>
                <w:color w:val="000000"/>
                <w:sz w:val="20"/>
              </w:rPr>
              <w:t>4,651,494</w:t>
            </w:r>
          </w:p>
        </w:tc>
        <w:tc>
          <w:tcPr>
            <w:tcW w:w="1701" w:type="dxa"/>
            <w:tcBorders>
              <w:bottom w:val="single" w:sz="4" w:space="0" w:color="auto"/>
            </w:tcBorders>
            <w:shd w:val="solid" w:color="FFFFFF" w:fill="auto"/>
            <w:vAlign w:val="bottom"/>
          </w:tcPr>
          <w:p w14:paraId="23250BCE" w14:textId="41885125" w:rsidR="000574FE" w:rsidRPr="004E20AE" w:rsidRDefault="000574FE" w:rsidP="000574FE">
            <w:pPr>
              <w:autoSpaceDE w:val="0"/>
              <w:autoSpaceDN w:val="0"/>
              <w:adjustRightInd w:val="0"/>
              <w:jc w:val="right"/>
              <w:rPr>
                <w:rFonts w:ascii="Arial" w:hAnsi="Arial" w:cs="Arial"/>
                <w:b/>
                <w:bCs/>
                <w:sz w:val="20"/>
                <w:highlight w:val="yellow"/>
                <w:lang w:eastAsia="en-GB"/>
              </w:rPr>
            </w:pPr>
            <w:r>
              <w:rPr>
                <w:rFonts w:ascii="Arial" w:hAnsi="Arial" w:cs="Arial"/>
                <w:b/>
                <w:bCs/>
                <w:color w:val="000000"/>
                <w:sz w:val="20"/>
              </w:rPr>
              <w:t>3.8%</w:t>
            </w:r>
          </w:p>
        </w:tc>
        <w:tc>
          <w:tcPr>
            <w:tcW w:w="1276" w:type="dxa"/>
            <w:tcBorders>
              <w:bottom w:val="single" w:sz="4" w:space="0" w:color="auto"/>
            </w:tcBorders>
            <w:shd w:val="solid" w:color="FFFFFF" w:fill="auto"/>
            <w:vAlign w:val="bottom"/>
          </w:tcPr>
          <w:p w14:paraId="18EFCEAD" w14:textId="77777777" w:rsidR="000574FE" w:rsidRPr="004E20AE" w:rsidRDefault="000574FE" w:rsidP="000574FE">
            <w:pPr>
              <w:autoSpaceDE w:val="0"/>
              <w:autoSpaceDN w:val="0"/>
              <w:adjustRightInd w:val="0"/>
              <w:jc w:val="right"/>
              <w:rPr>
                <w:rFonts w:ascii="Arial" w:hAnsi="Arial" w:cs="Arial"/>
                <w:b/>
                <w:bCs/>
                <w:sz w:val="20"/>
                <w:highlight w:val="yellow"/>
                <w:lang w:eastAsia="en-GB"/>
              </w:rPr>
            </w:pPr>
          </w:p>
        </w:tc>
        <w:tc>
          <w:tcPr>
            <w:tcW w:w="2835" w:type="dxa"/>
            <w:tcBorders>
              <w:bottom w:val="single" w:sz="4" w:space="0" w:color="auto"/>
            </w:tcBorders>
            <w:shd w:val="solid" w:color="FFFFFF" w:fill="auto"/>
            <w:vAlign w:val="bottom"/>
          </w:tcPr>
          <w:p w14:paraId="060C36A5" w14:textId="5A55D2E0" w:rsidR="000574FE" w:rsidRPr="000574FE" w:rsidRDefault="000574FE" w:rsidP="000574FE">
            <w:pPr>
              <w:autoSpaceDE w:val="0"/>
              <w:autoSpaceDN w:val="0"/>
              <w:adjustRightInd w:val="0"/>
              <w:jc w:val="right"/>
              <w:rPr>
                <w:rFonts w:ascii="Arial" w:hAnsi="Arial" w:cs="Arial"/>
                <w:b/>
                <w:bCs/>
                <w:sz w:val="20"/>
                <w:lang w:eastAsia="en-GB"/>
              </w:rPr>
            </w:pPr>
            <w:r w:rsidRPr="000574FE">
              <w:rPr>
                <w:rFonts w:ascii="Arial" w:hAnsi="Arial" w:cs="Arial"/>
                <w:b/>
                <w:sz w:val="20"/>
              </w:rPr>
              <w:t>244,000</w:t>
            </w:r>
          </w:p>
        </w:tc>
      </w:tr>
    </w:tbl>
    <w:p w14:paraId="156BA19F" w14:textId="77777777" w:rsidR="00154A32" w:rsidRPr="004E20AE" w:rsidRDefault="00154A32" w:rsidP="00154A32">
      <w:pPr>
        <w:spacing w:before="120"/>
        <w:rPr>
          <w:rFonts w:ascii="Arial" w:hAnsi="Arial" w:cs="Arial"/>
          <w:sz w:val="20"/>
          <w:lang w:eastAsia="en-GB"/>
        </w:rPr>
      </w:pPr>
      <w:r w:rsidRPr="004E20AE">
        <w:rPr>
          <w:rFonts w:ascii="Arial" w:hAnsi="Arial" w:cs="Arial"/>
          <w:sz w:val="20"/>
          <w:lang w:eastAsia="en-GB"/>
        </w:rPr>
        <w:t>Note: Total may not sum correctly due to rounding</w:t>
      </w:r>
    </w:p>
    <w:p w14:paraId="517CF530" w14:textId="3A4B375B" w:rsidR="00154A32" w:rsidRPr="003D6721" w:rsidRDefault="00BE5BE5" w:rsidP="003D6721">
      <w:pPr>
        <w:pStyle w:val="ListParagraph"/>
        <w:numPr>
          <w:ilvl w:val="0"/>
          <w:numId w:val="2"/>
        </w:numPr>
        <w:rPr>
          <w:rFonts w:ascii="Arial" w:hAnsi="Arial" w:cs="Arial"/>
          <w:sz w:val="20"/>
          <w:lang w:eastAsia="en-GB"/>
        </w:rPr>
      </w:pPr>
      <w:r w:rsidRPr="003D6721">
        <w:rPr>
          <w:rFonts w:ascii="Arial" w:hAnsi="Arial" w:cs="Arial"/>
          <w:sz w:val="20"/>
          <w:lang w:eastAsia="en-GB"/>
        </w:rPr>
        <w:t>2020-21</w:t>
      </w:r>
      <w:r w:rsidR="00154A32" w:rsidRPr="003D6721">
        <w:rPr>
          <w:rFonts w:ascii="Arial" w:hAnsi="Arial" w:cs="Arial"/>
          <w:sz w:val="20"/>
          <w:lang w:eastAsia="en-GB"/>
        </w:rPr>
        <w:t xml:space="preserve"> AEF adjusted transfers of £5.1</w:t>
      </w:r>
      <w:r w:rsidRPr="003D6721">
        <w:rPr>
          <w:rFonts w:ascii="Arial" w:hAnsi="Arial" w:cs="Arial"/>
          <w:sz w:val="20"/>
          <w:lang w:eastAsia="en-GB"/>
        </w:rPr>
        <w:t>27</w:t>
      </w:r>
      <w:r w:rsidR="00154A32" w:rsidRPr="003D6721">
        <w:rPr>
          <w:rFonts w:ascii="Arial" w:hAnsi="Arial" w:cs="Arial"/>
          <w:sz w:val="20"/>
          <w:lang w:eastAsia="en-GB"/>
        </w:rPr>
        <w:t xml:space="preserve">m (at </w:t>
      </w:r>
      <w:r w:rsidRPr="003D6721">
        <w:rPr>
          <w:rFonts w:ascii="Arial" w:hAnsi="Arial" w:cs="Arial"/>
          <w:sz w:val="20"/>
          <w:lang w:eastAsia="en-GB"/>
        </w:rPr>
        <w:t>2020-21</w:t>
      </w:r>
      <w:r w:rsidR="00154A32" w:rsidRPr="003D6721">
        <w:rPr>
          <w:rFonts w:ascii="Arial" w:hAnsi="Arial" w:cs="Arial"/>
          <w:sz w:val="20"/>
          <w:lang w:eastAsia="en-GB"/>
        </w:rPr>
        <w:t xml:space="preserve"> prices) into the Settlement</w:t>
      </w:r>
    </w:p>
    <w:p w14:paraId="447792E5" w14:textId="2CB48F59" w:rsidR="003D6721" w:rsidRPr="003D6721" w:rsidRDefault="00C40978" w:rsidP="003D6721">
      <w:pPr>
        <w:pStyle w:val="ListParagraph"/>
        <w:numPr>
          <w:ilvl w:val="0"/>
          <w:numId w:val="2"/>
        </w:numPr>
        <w:rPr>
          <w:rFonts w:ascii="Arial" w:hAnsi="Arial" w:cs="Arial"/>
          <w:sz w:val="20"/>
          <w:lang w:eastAsia="en-GB"/>
        </w:rPr>
      </w:pPr>
      <w:r>
        <w:rPr>
          <w:rFonts w:ascii="Arial" w:hAnsi="Arial" w:cs="Arial"/>
          <w:sz w:val="20"/>
          <w:lang w:eastAsia="en-GB"/>
        </w:rPr>
        <w:t>The 2021-22 final AEF is u</w:t>
      </w:r>
      <w:r w:rsidR="003D6721" w:rsidRPr="003D6721">
        <w:rPr>
          <w:rFonts w:ascii="Arial" w:hAnsi="Arial" w:cs="Arial"/>
          <w:sz w:val="20"/>
          <w:lang w:eastAsia="en-GB"/>
        </w:rPr>
        <w:t>nchanged from provisional settlement.</w:t>
      </w:r>
    </w:p>
    <w:sectPr w:rsidR="003D6721" w:rsidRPr="003D6721" w:rsidSect="009756D9">
      <w:headerReference w:type="first" r:id="rId14"/>
      <w:pgSz w:w="16838" w:h="11906" w:orient="landscape" w:code="9"/>
      <w:pgMar w:top="1134" w:right="1134" w:bottom="1134" w:left="1134" w:header="284"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92D32" w14:textId="77777777" w:rsidR="00616EE4" w:rsidRDefault="00616EE4">
      <w:r>
        <w:separator/>
      </w:r>
    </w:p>
  </w:endnote>
  <w:endnote w:type="continuationSeparator" w:id="0">
    <w:p w14:paraId="3686B4E3" w14:textId="77777777" w:rsidR="00616EE4" w:rsidRDefault="0061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69413" w14:textId="77777777" w:rsidR="00616EE4" w:rsidRDefault="00616EE4">
      <w:r>
        <w:separator/>
      </w:r>
    </w:p>
  </w:footnote>
  <w:footnote w:type="continuationSeparator" w:id="0">
    <w:p w14:paraId="59239075" w14:textId="77777777" w:rsidR="00616EE4" w:rsidRDefault="00616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C8A52" w14:textId="4CFA70B2" w:rsidR="006353A0" w:rsidRDefault="006353A0" w:rsidP="009540E7">
    <w:pPr>
      <w:jc w:val="right"/>
    </w:pPr>
    <w:r>
      <w:rPr>
        <w:noProof/>
        <w:lang w:eastAsia="en-GB"/>
      </w:rPr>
      <w:drawing>
        <wp:inline distT="0" distB="0" distL="0" distR="0" wp14:anchorId="69DA5386" wp14:editId="77C330A1">
          <wp:extent cx="1476375" cy="1400175"/>
          <wp:effectExtent l="0" t="0" r="9525" b="9525"/>
          <wp:docPr id="5" name="Picture 5" descr="Welsh Government logo&#10;Logo Llywodraeth Cym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inline>
      </w:drawing>
    </w:r>
  </w:p>
  <w:p w14:paraId="509364CC" w14:textId="77777777" w:rsidR="006353A0" w:rsidRDefault="006353A0" w:rsidP="006353A0">
    <w:pPr>
      <w:pStyle w:val="Header"/>
    </w:pPr>
  </w:p>
  <w:p w14:paraId="5C858E72" w14:textId="77777777" w:rsidR="003719A7" w:rsidRPr="006353A0" w:rsidRDefault="003719A7" w:rsidP="00635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D0234" w14:textId="77777777" w:rsidR="005807FA" w:rsidRDefault="002420AE"/>
  <w:p w14:paraId="52FA5151" w14:textId="77777777" w:rsidR="005807FA" w:rsidRDefault="002420AE">
    <w:pPr>
      <w:pStyle w:val="Header"/>
    </w:pPr>
  </w:p>
  <w:p w14:paraId="680E74C1" w14:textId="77777777" w:rsidR="005807FA" w:rsidRDefault="00242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2963486"/>
    <w:multiLevelType w:val="hybridMultilevel"/>
    <w:tmpl w:val="CF7E9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0946"/>
    <w:rsid w:val="000516D9"/>
    <w:rsid w:val="0005566D"/>
    <w:rsid w:val="000574FE"/>
    <w:rsid w:val="0006774B"/>
    <w:rsid w:val="00082B81"/>
    <w:rsid w:val="00090C3D"/>
    <w:rsid w:val="00097118"/>
    <w:rsid w:val="000C3A52"/>
    <w:rsid w:val="000C53DB"/>
    <w:rsid w:val="000C5E9B"/>
    <w:rsid w:val="000D0BCF"/>
    <w:rsid w:val="000E6BE4"/>
    <w:rsid w:val="00134918"/>
    <w:rsid w:val="001460B1"/>
    <w:rsid w:val="00154A32"/>
    <w:rsid w:val="0017102C"/>
    <w:rsid w:val="0018305E"/>
    <w:rsid w:val="00183D5F"/>
    <w:rsid w:val="00195D1D"/>
    <w:rsid w:val="001A39E2"/>
    <w:rsid w:val="001A6AF1"/>
    <w:rsid w:val="001B027C"/>
    <w:rsid w:val="001B288D"/>
    <w:rsid w:val="001C532F"/>
    <w:rsid w:val="001E53BF"/>
    <w:rsid w:val="001E7F21"/>
    <w:rsid w:val="00214B25"/>
    <w:rsid w:val="00223E62"/>
    <w:rsid w:val="002420AE"/>
    <w:rsid w:val="0025460A"/>
    <w:rsid w:val="00274F08"/>
    <w:rsid w:val="002A5310"/>
    <w:rsid w:val="002B3ED8"/>
    <w:rsid w:val="002C57B6"/>
    <w:rsid w:val="002E5F77"/>
    <w:rsid w:val="002F0EB9"/>
    <w:rsid w:val="002F34B1"/>
    <w:rsid w:val="002F53A9"/>
    <w:rsid w:val="00314E36"/>
    <w:rsid w:val="003220C1"/>
    <w:rsid w:val="00332FED"/>
    <w:rsid w:val="00333D0C"/>
    <w:rsid w:val="003475F9"/>
    <w:rsid w:val="003514F8"/>
    <w:rsid w:val="00356D7B"/>
    <w:rsid w:val="00356FFA"/>
    <w:rsid w:val="00357893"/>
    <w:rsid w:val="003670C1"/>
    <w:rsid w:val="00370471"/>
    <w:rsid w:val="003719A7"/>
    <w:rsid w:val="00391764"/>
    <w:rsid w:val="003A7B3B"/>
    <w:rsid w:val="003B1503"/>
    <w:rsid w:val="003B2197"/>
    <w:rsid w:val="003B3D64"/>
    <w:rsid w:val="003C5133"/>
    <w:rsid w:val="003D6721"/>
    <w:rsid w:val="00412673"/>
    <w:rsid w:val="00414EFC"/>
    <w:rsid w:val="0043031D"/>
    <w:rsid w:val="00461D59"/>
    <w:rsid w:val="0046757C"/>
    <w:rsid w:val="0049515B"/>
    <w:rsid w:val="004A2482"/>
    <w:rsid w:val="00531BC4"/>
    <w:rsid w:val="00544AE1"/>
    <w:rsid w:val="00560F1F"/>
    <w:rsid w:val="00561207"/>
    <w:rsid w:val="00572388"/>
    <w:rsid w:val="00574BB3"/>
    <w:rsid w:val="005A22E2"/>
    <w:rsid w:val="005A39CF"/>
    <w:rsid w:val="005B030B"/>
    <w:rsid w:val="005B4DB1"/>
    <w:rsid w:val="005D2A41"/>
    <w:rsid w:val="005D5BBD"/>
    <w:rsid w:val="005D7663"/>
    <w:rsid w:val="005F1659"/>
    <w:rsid w:val="005F32A4"/>
    <w:rsid w:val="00603548"/>
    <w:rsid w:val="006124AC"/>
    <w:rsid w:val="00616EE4"/>
    <w:rsid w:val="006353A0"/>
    <w:rsid w:val="00642687"/>
    <w:rsid w:val="00654C0A"/>
    <w:rsid w:val="006633C7"/>
    <w:rsid w:val="0066352A"/>
    <w:rsid w:val="00663F04"/>
    <w:rsid w:val="00670227"/>
    <w:rsid w:val="006762CE"/>
    <w:rsid w:val="006814BD"/>
    <w:rsid w:val="0069133F"/>
    <w:rsid w:val="006B340E"/>
    <w:rsid w:val="006B461D"/>
    <w:rsid w:val="006E0A2C"/>
    <w:rsid w:val="006E2D62"/>
    <w:rsid w:val="006E6645"/>
    <w:rsid w:val="00703993"/>
    <w:rsid w:val="0073380E"/>
    <w:rsid w:val="00734F34"/>
    <w:rsid w:val="00736F1E"/>
    <w:rsid w:val="00743B79"/>
    <w:rsid w:val="007523BC"/>
    <w:rsid w:val="00752C48"/>
    <w:rsid w:val="007735ED"/>
    <w:rsid w:val="00791861"/>
    <w:rsid w:val="007A05FB"/>
    <w:rsid w:val="007B5260"/>
    <w:rsid w:val="007C24E7"/>
    <w:rsid w:val="007D1402"/>
    <w:rsid w:val="007F5B68"/>
    <w:rsid w:val="007F5E64"/>
    <w:rsid w:val="00800FA0"/>
    <w:rsid w:val="00806E47"/>
    <w:rsid w:val="00812370"/>
    <w:rsid w:val="00823043"/>
    <w:rsid w:val="0082411A"/>
    <w:rsid w:val="00831F11"/>
    <w:rsid w:val="00841628"/>
    <w:rsid w:val="00846160"/>
    <w:rsid w:val="00852CEF"/>
    <w:rsid w:val="00867BE8"/>
    <w:rsid w:val="00876D29"/>
    <w:rsid w:val="00877BD2"/>
    <w:rsid w:val="00897180"/>
    <w:rsid w:val="008B7927"/>
    <w:rsid w:val="008D1E0B"/>
    <w:rsid w:val="008E150F"/>
    <w:rsid w:val="008F0CC6"/>
    <w:rsid w:val="008F789E"/>
    <w:rsid w:val="00901629"/>
    <w:rsid w:val="00905771"/>
    <w:rsid w:val="00953A46"/>
    <w:rsid w:val="009540E7"/>
    <w:rsid w:val="00967473"/>
    <w:rsid w:val="00973090"/>
    <w:rsid w:val="00995EEC"/>
    <w:rsid w:val="009B22A5"/>
    <w:rsid w:val="009B4E56"/>
    <w:rsid w:val="009D20CA"/>
    <w:rsid w:val="009D26D8"/>
    <w:rsid w:val="009E4974"/>
    <w:rsid w:val="009F06C3"/>
    <w:rsid w:val="00A141AE"/>
    <w:rsid w:val="00A204C9"/>
    <w:rsid w:val="00A23742"/>
    <w:rsid w:val="00A3247B"/>
    <w:rsid w:val="00A72CF3"/>
    <w:rsid w:val="00A82A45"/>
    <w:rsid w:val="00A845A9"/>
    <w:rsid w:val="00A86958"/>
    <w:rsid w:val="00A94BD3"/>
    <w:rsid w:val="00A956E6"/>
    <w:rsid w:val="00AA5651"/>
    <w:rsid w:val="00AA5848"/>
    <w:rsid w:val="00AA7750"/>
    <w:rsid w:val="00AD2486"/>
    <w:rsid w:val="00AD65F1"/>
    <w:rsid w:val="00AE064D"/>
    <w:rsid w:val="00AF056B"/>
    <w:rsid w:val="00AF6779"/>
    <w:rsid w:val="00AF6DD8"/>
    <w:rsid w:val="00B049B1"/>
    <w:rsid w:val="00B239BA"/>
    <w:rsid w:val="00B3328A"/>
    <w:rsid w:val="00B33F15"/>
    <w:rsid w:val="00B468BB"/>
    <w:rsid w:val="00B57637"/>
    <w:rsid w:val="00B81F17"/>
    <w:rsid w:val="00B86660"/>
    <w:rsid w:val="00BA3079"/>
    <w:rsid w:val="00BB7C62"/>
    <w:rsid w:val="00BE5BE5"/>
    <w:rsid w:val="00BF2A36"/>
    <w:rsid w:val="00C40978"/>
    <w:rsid w:val="00C43B4A"/>
    <w:rsid w:val="00C64FA5"/>
    <w:rsid w:val="00C84A12"/>
    <w:rsid w:val="00CD49A2"/>
    <w:rsid w:val="00CF079F"/>
    <w:rsid w:val="00CF3DC5"/>
    <w:rsid w:val="00D00203"/>
    <w:rsid w:val="00D017E2"/>
    <w:rsid w:val="00D16D97"/>
    <w:rsid w:val="00D27F42"/>
    <w:rsid w:val="00D61A4A"/>
    <w:rsid w:val="00D71B22"/>
    <w:rsid w:val="00D84713"/>
    <w:rsid w:val="00DB7044"/>
    <w:rsid w:val="00DD4B82"/>
    <w:rsid w:val="00E018E3"/>
    <w:rsid w:val="00E146C5"/>
    <w:rsid w:val="00E1556F"/>
    <w:rsid w:val="00E1702E"/>
    <w:rsid w:val="00E30FCC"/>
    <w:rsid w:val="00E3419E"/>
    <w:rsid w:val="00E47B1A"/>
    <w:rsid w:val="00E631B1"/>
    <w:rsid w:val="00E918F2"/>
    <w:rsid w:val="00EA3952"/>
    <w:rsid w:val="00EA5290"/>
    <w:rsid w:val="00EB1ED0"/>
    <w:rsid w:val="00EB248F"/>
    <w:rsid w:val="00EB5F93"/>
    <w:rsid w:val="00EC0568"/>
    <w:rsid w:val="00EE2CC3"/>
    <w:rsid w:val="00EE721A"/>
    <w:rsid w:val="00EF2D4D"/>
    <w:rsid w:val="00F0272E"/>
    <w:rsid w:val="00F2438B"/>
    <w:rsid w:val="00F4068B"/>
    <w:rsid w:val="00F53BDA"/>
    <w:rsid w:val="00F81C33"/>
    <w:rsid w:val="00F923C2"/>
    <w:rsid w:val="00F97613"/>
    <w:rsid w:val="00FD01AF"/>
    <w:rsid w:val="00FE15D6"/>
    <w:rsid w:val="00FF0966"/>
    <w:rsid w:val="00FF3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93E500"/>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table" w:styleId="TableGrid">
    <w:name w:val="Table Grid"/>
    <w:basedOn w:val="TableNormal"/>
    <w:rsid w:val="000E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44AE1"/>
    <w:rPr>
      <w:rFonts w:ascii="TradeGothic" w:hAnsi="TradeGothic"/>
      <w:sz w:val="22"/>
      <w:lang w:eastAsia="en-US"/>
    </w:rPr>
  </w:style>
  <w:style w:type="paragraph" w:customStyle="1" w:styleId="Default">
    <w:name w:val="Default"/>
    <w:rsid w:val="00154A32"/>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semiHidden/>
    <w:unhideWhenUsed/>
    <w:rsid w:val="002B3ED8"/>
    <w:rPr>
      <w:sz w:val="20"/>
    </w:rPr>
  </w:style>
  <w:style w:type="character" w:customStyle="1" w:styleId="CommentTextChar">
    <w:name w:val="Comment Text Char"/>
    <w:basedOn w:val="DefaultParagraphFont"/>
    <w:link w:val="CommentText"/>
    <w:semiHidden/>
    <w:rsid w:val="002B3ED8"/>
    <w:rPr>
      <w:rFonts w:ascii="TradeGothic" w:hAnsi="TradeGothic"/>
      <w:lang w:eastAsia="en-US"/>
    </w:rPr>
  </w:style>
  <w:style w:type="paragraph" w:styleId="BalloonText">
    <w:name w:val="Balloon Text"/>
    <w:basedOn w:val="Normal"/>
    <w:link w:val="BalloonTextChar"/>
    <w:semiHidden/>
    <w:unhideWhenUsed/>
    <w:rsid w:val="00BE5BE5"/>
    <w:rPr>
      <w:rFonts w:ascii="Segoe UI" w:hAnsi="Segoe UI" w:cs="Segoe UI"/>
      <w:sz w:val="18"/>
      <w:szCs w:val="18"/>
    </w:rPr>
  </w:style>
  <w:style w:type="character" w:customStyle="1" w:styleId="BalloonTextChar">
    <w:name w:val="Balloon Text Char"/>
    <w:basedOn w:val="DefaultParagraphFont"/>
    <w:link w:val="BalloonText"/>
    <w:semiHidden/>
    <w:rsid w:val="00BE5BE5"/>
    <w:rPr>
      <w:rFonts w:ascii="Segoe UI" w:hAnsi="Segoe UI" w:cs="Segoe UI"/>
      <w:sz w:val="18"/>
      <w:szCs w:val="18"/>
      <w:lang w:eastAsia="en-US"/>
    </w:rPr>
  </w:style>
  <w:style w:type="character" w:styleId="CommentReference">
    <w:name w:val="annotation reference"/>
    <w:basedOn w:val="DefaultParagraphFont"/>
    <w:semiHidden/>
    <w:unhideWhenUsed/>
    <w:rsid w:val="00BF2A36"/>
    <w:rPr>
      <w:sz w:val="16"/>
      <w:szCs w:val="16"/>
    </w:rPr>
  </w:style>
  <w:style w:type="paragraph" w:styleId="CommentSubject">
    <w:name w:val="annotation subject"/>
    <w:basedOn w:val="CommentText"/>
    <w:next w:val="CommentText"/>
    <w:link w:val="CommentSubjectChar"/>
    <w:semiHidden/>
    <w:unhideWhenUsed/>
    <w:rsid w:val="00BF2A36"/>
    <w:rPr>
      <w:b/>
      <w:bCs/>
    </w:rPr>
  </w:style>
  <w:style w:type="character" w:customStyle="1" w:styleId="CommentSubjectChar">
    <w:name w:val="Comment Subject Char"/>
    <w:basedOn w:val="CommentTextChar"/>
    <w:link w:val="CommentSubject"/>
    <w:semiHidden/>
    <w:rsid w:val="00BF2A36"/>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14859">
      <w:bodyDiv w:val="1"/>
      <w:marLeft w:val="0"/>
      <w:marRight w:val="0"/>
      <w:marTop w:val="0"/>
      <w:marBottom w:val="0"/>
      <w:divBdr>
        <w:top w:val="none" w:sz="0" w:space="0" w:color="auto"/>
        <w:left w:val="none" w:sz="0" w:space="0" w:color="auto"/>
        <w:bottom w:val="none" w:sz="0" w:space="0" w:color="auto"/>
        <w:right w:val="none" w:sz="0" w:space="0" w:color="auto"/>
      </w:divBdr>
    </w:div>
    <w:div w:id="128334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ov.wales/local-government-revenue-and-capital-settlement-2021-202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1" ma:contentTypeDescription="Create a new document." ma:contentTypeScope="" ma:versionID="20e8ae7a33775d1bf583727dd4d82322">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d70cccb88eae144646a40f9c71c1bd06"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FF3C5B18883D4E21973B57C2EEED7FD1" version="1.0.0">
  <systemFields>
    <field name="Objective-Id">
      <value order="0">A33557215</value>
    </field>
    <field name="Objective-Title">
      <value order="0">LGFP - Final Local Government Settlement 2021-22 - Written Statement - English</value>
    </field>
    <field name="Objective-Description">
      <value order="0"/>
    </field>
    <field name="Objective-CreationStamp">
      <value order="0">2021-02-23T11:28:07Z</value>
    </field>
    <field name="Objective-IsApproved">
      <value order="0">false</value>
    </field>
    <field name="Objective-IsPublished">
      <value order="0">true</value>
    </field>
    <field name="Objective-DatePublished">
      <value order="0">2021-03-01T09:27:10Z</value>
    </field>
    <field name="Objective-ModificationStamp">
      <value order="0">2021-03-01T09:27:10Z</value>
    </field>
    <field name="Objective-Owner">
      <value order="0">Caddick, Ashley (EPS - LGFWP)</value>
    </field>
    <field name="Objective-Path">
      <value order="0">Objective Global Folder:Business File Plan:Education &amp; Public Services (EPS):Education &amp; Public Services (EPS) - Local Government - Finance Policy:1 - Save:Unitary Authority Settlement:Administration:2021-2022:Local Authorities - 2021-2022 - Unitary Authorities Settlement - Reports &amp; Outputs</value>
    </field>
    <field name="Objective-Parent">
      <value order="0">Local Authorities - 2021-2022 - Unitary Authorities Settlement - Reports &amp; Outputs</value>
    </field>
    <field name="Objective-State">
      <value order="0">Published</value>
    </field>
    <field name="Objective-VersionId">
      <value order="0">vA66544954</value>
    </field>
    <field name="Objective-Version">
      <value order="0">19.0</value>
    </field>
    <field name="Objective-VersionNumber">
      <value order="0">21</value>
    </field>
    <field name="Objective-VersionComment">
      <value order="0"/>
    </field>
    <field name="Objective-FileNumber">
      <value order="0">qA1434412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968DC-529E-4837-8EF2-D0ECBDFC1536}">
  <ds:schemaRefs>
    <ds:schemaRef ds:uri="http://schemas.openxmlformats.org/package/2006/metadata/core-properties"/>
    <ds:schemaRef ds:uri="http://purl.org/dc/dcmitype/"/>
    <ds:schemaRef ds:uri="http://schemas.microsoft.com/office/2006/documentManagement/types"/>
    <ds:schemaRef ds:uri="ef277e87-290d-49c5-91d0-3912be04ccbd"/>
    <ds:schemaRef ds:uri="http://purl.org/dc/elements/1.1/"/>
    <ds:schemaRef ds:uri="http://schemas.microsoft.com/office/2006/metadata/properties"/>
    <ds:schemaRef ds:uri="93868ba0-4f09-432e-b4a8-1e7798b1a206"/>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4FAAFF6-9C96-4490-BEC4-32C9709498FF}">
  <ds:schemaRefs>
    <ds:schemaRef ds:uri="http://schemas.microsoft.com/sharepoint/v3/contenttype/forms"/>
  </ds:schemaRefs>
</ds:datastoreItem>
</file>

<file path=customXml/itemProps3.xml><?xml version="1.0" encoding="utf-8"?>
<ds:datastoreItem xmlns:ds="http://schemas.openxmlformats.org/officeDocument/2006/customXml" ds:itemID="{7A0377F7-372E-4881-81C6-84C917240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FCA5A364-4296-473B-958F-9C28CAA25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Carey, Helen (OFM - Cabinet Division)</cp:lastModifiedBy>
  <cp:revision>4</cp:revision>
  <cp:lastPrinted>2011-05-27T10:19:00Z</cp:lastPrinted>
  <dcterms:created xsi:type="dcterms:W3CDTF">2021-03-02T12:55:00Z</dcterms:created>
  <dcterms:modified xsi:type="dcterms:W3CDTF">2021-03-02T13:10:00Z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A33557215</vt:lpwstr>
  </property>
  <property fmtid="{D5CDD505-2E9C-101B-9397-08002B2CF9AE}" pid="4" name="Objective-Title">
    <vt:lpwstr>LGFP - Final Local Government Settlement 2021-22 - Written Statement - English</vt:lpwstr>
  </property>
  <property fmtid="{D5CDD505-2E9C-101B-9397-08002B2CF9AE}" pid="5" name="Objective-Comment">
    <vt:lpwstr/>
  </property>
  <property fmtid="{D5CDD505-2E9C-101B-9397-08002B2CF9AE}" pid="6" name="Objective-CreationStamp">
    <vt:filetime>2021-02-23T11:28:31Z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2021-03-01T09:27:10Z</vt:filetime>
  </property>
  <property fmtid="{D5CDD505-2E9C-101B-9397-08002B2CF9AE}" pid="10" name="Objective-ModificationStamp">
    <vt:filetime>2021-03-01T09:27:10Z</vt:filetime>
  </property>
  <property fmtid="{D5CDD505-2E9C-101B-9397-08002B2CF9AE}" pid="11" name="Objective-Owner">
    <vt:lpwstr>Caddick, Ashley (EPS - LGFWP)</vt:lpwstr>
  </property>
  <property fmtid="{D5CDD505-2E9C-101B-9397-08002B2CF9AE}" pid="12" name="Objective-Path">
    <vt:lpwstr>Objective Global Folder:Business File Plan:Education &amp; Public Services (EPS):Education &amp; Public Services (EPS) - Local Government - Finance Policy:1 - Save:Unitary Authority Settlement:Administration:2021-2022:Local Authorities - 2021-2022 - Unitary Autho</vt:lpwstr>
  </property>
  <property fmtid="{D5CDD505-2E9C-101B-9397-08002B2CF9AE}" pid="13" name="Objective-Parent">
    <vt:lpwstr>Local Authorities - 2021-2022 - Unitary Authorities Settlement - Reports &amp; Outputs</vt:lpwstr>
  </property>
  <property fmtid="{D5CDD505-2E9C-101B-9397-08002B2CF9AE}" pid="14" name="Objective-State">
    <vt:lpwstr>Published</vt:lpwstr>
  </property>
  <property fmtid="{D5CDD505-2E9C-101B-9397-08002B2CF9AE}" pid="15" name="Objective-Version">
    <vt:lpwstr>19.0</vt:lpwstr>
  </property>
  <property fmtid="{D5CDD505-2E9C-101B-9397-08002B2CF9AE}" pid="16" name="Objective-VersionNumber">
    <vt:r8>21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vA66544954</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