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B11CD" w14:textId="77777777" w:rsidR="00B345D6" w:rsidRDefault="009A12F4">
      <w:pPr>
        <w:spacing w:after="383" w:line="259" w:lineRule="auto"/>
        <w:ind w:left="7302" w:firstLine="0"/>
      </w:pPr>
      <w:r>
        <w:rPr>
          <w:noProof/>
        </w:rPr>
        <w:drawing>
          <wp:inline distT="0" distB="0" distL="0" distR="0" wp14:anchorId="0E1210D4" wp14:editId="661C51C8">
            <wp:extent cx="1476375" cy="140017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a:stretch>
                      <a:fillRect/>
                    </a:stretch>
                  </pic:blipFill>
                  <pic:spPr>
                    <a:xfrm>
                      <a:off x="0" y="0"/>
                      <a:ext cx="1476375" cy="1400175"/>
                    </a:xfrm>
                    <a:prstGeom prst="rect">
                      <a:avLst/>
                    </a:prstGeom>
                  </pic:spPr>
                </pic:pic>
              </a:graphicData>
            </a:graphic>
          </wp:inline>
        </w:drawing>
      </w:r>
    </w:p>
    <w:tbl>
      <w:tblPr>
        <w:tblStyle w:val="TableGrid"/>
        <w:tblW w:w="8438" w:type="dxa"/>
        <w:tblInd w:w="0" w:type="dxa"/>
        <w:tblLook w:val="04A0" w:firstRow="1" w:lastRow="0" w:firstColumn="1" w:lastColumn="0" w:noHBand="0" w:noVBand="1"/>
      </w:tblPr>
      <w:tblGrid>
        <w:gridCol w:w="1490"/>
        <w:gridCol w:w="6948"/>
      </w:tblGrid>
      <w:tr w:rsidR="00B345D6" w14:paraId="211ED885" w14:textId="77777777" w:rsidTr="00013E27">
        <w:trPr>
          <w:trHeight w:val="3321"/>
        </w:trPr>
        <w:tc>
          <w:tcPr>
            <w:tcW w:w="1490" w:type="dxa"/>
          </w:tcPr>
          <w:p w14:paraId="3AED51CF" w14:textId="77777777" w:rsidR="009A12F4" w:rsidRDefault="009A12F4" w:rsidP="009A12F4">
            <w:pPr>
              <w:spacing w:after="1558" w:line="259" w:lineRule="auto"/>
              <w:ind w:left="0" w:firstLine="0"/>
            </w:pPr>
          </w:p>
        </w:tc>
        <w:tc>
          <w:tcPr>
            <w:tcW w:w="6948" w:type="dxa"/>
          </w:tcPr>
          <w:p w14:paraId="3D683DCE" w14:textId="77777777" w:rsidR="00B345D6" w:rsidRDefault="009A12F4">
            <w:pPr>
              <w:spacing w:after="231" w:line="259" w:lineRule="auto"/>
              <w:ind w:left="-1417" w:firstLine="0"/>
            </w:pPr>
            <w:r>
              <w:rPr>
                <w:rFonts w:ascii="Calibri" w:eastAsia="Calibri" w:hAnsi="Calibri" w:cs="Calibri"/>
                <w:noProof/>
                <w:sz w:val="22"/>
              </w:rPr>
              <mc:AlternateContent>
                <mc:Choice Requires="wpg">
                  <w:drawing>
                    <wp:inline distT="0" distB="0" distL="0" distR="0" wp14:anchorId="03982FEC" wp14:editId="00731B13">
                      <wp:extent cx="5303520" cy="19050"/>
                      <wp:effectExtent l="0" t="0" r="0" b="0"/>
                      <wp:docPr id="2106" name="Group 2106"/>
                      <wp:cNvGraphicFramePr/>
                      <a:graphic xmlns:a="http://schemas.openxmlformats.org/drawingml/2006/main">
                        <a:graphicData uri="http://schemas.microsoft.com/office/word/2010/wordprocessingGroup">
                          <wpg:wgp>
                            <wpg:cNvGrpSpPr/>
                            <wpg:grpSpPr>
                              <a:xfrm>
                                <a:off x="0" y="0"/>
                                <a:ext cx="5303520" cy="19050"/>
                                <a:chOff x="0" y="0"/>
                                <a:chExt cx="5303520" cy="19050"/>
                              </a:xfrm>
                            </wpg:grpSpPr>
                            <wps:wsp>
                              <wps:cNvPr id="137" name="Shape 137"/>
                              <wps:cNvSpPr/>
                              <wps:spPr>
                                <a:xfrm>
                                  <a:off x="0" y="0"/>
                                  <a:ext cx="5303520" cy="0"/>
                                </a:xfrm>
                                <a:custGeom>
                                  <a:avLst/>
                                  <a:gdLst/>
                                  <a:ahLst/>
                                  <a:cxnLst/>
                                  <a:rect l="0" t="0" r="0" b="0"/>
                                  <a:pathLst>
                                    <a:path w="5303520">
                                      <a:moveTo>
                                        <a:pt x="0" y="0"/>
                                      </a:moveTo>
                                      <a:lnTo>
                                        <a:pt x="5303520" y="0"/>
                                      </a:lnTo>
                                    </a:path>
                                  </a:pathLst>
                                </a:custGeom>
                                <a:ln w="19050" cap="flat">
                                  <a:round/>
                                </a:ln>
                              </wps:spPr>
                              <wps:style>
                                <a:lnRef idx="1">
                                  <a:srgbClr val="FF0000"/>
                                </a:lnRef>
                                <a:fillRef idx="0">
                                  <a:srgbClr val="000000">
                                    <a:alpha val="0"/>
                                  </a:srgbClr>
                                </a:fillRef>
                                <a:effectRef idx="0">
                                  <a:scrgbClr r="0" g="0" b="0"/>
                                </a:effectRef>
                                <a:fontRef idx="none"/>
                              </wps:style>
                              <wps:bodyPr/>
                            </wps:wsp>
                          </wpg:wgp>
                        </a:graphicData>
                      </a:graphic>
                    </wp:inline>
                  </w:drawing>
                </mc:Choice>
                <mc:Fallback>
                  <w:pict>
                    <v:group w14:anchorId="630FE26C" id="Group 2106" o:spid="_x0000_s1026" style="width:417.6pt;height:1.5pt;mso-position-horizontal-relative:char;mso-position-vertical-relative:line" coordsize="5303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">
                      <v:shape id="Shape 137" o:spid="_x0000_s1027" style="position:absolute;width:53035;height:0;visibility:visible;mso-wrap-style:square;v-text-anchor:top" coordsize="5303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" path="m,l5303520,e" filled="f" strokecolor="red" strokeweight="1.5pt">
                        <v:path arrowok="t" textboxrect="0,0,5303520,0"/>
                      </v:shape>
                      <w10:anchorlock/>
                    </v:group>
                  </w:pict>
                </mc:Fallback>
              </mc:AlternateContent>
            </w:r>
          </w:p>
          <w:p w14:paraId="6317DCE1" w14:textId="77777777" w:rsidR="00B345D6" w:rsidRDefault="009A12F4">
            <w:pPr>
              <w:spacing w:after="0" w:line="259" w:lineRule="auto"/>
              <w:ind w:left="0" w:right="147" w:firstLine="0"/>
              <w:jc w:val="center"/>
            </w:pPr>
            <w:r>
              <w:rPr>
                <w:rFonts w:ascii="Times New Roman" w:eastAsia="Times New Roman" w:hAnsi="Times New Roman" w:cs="Times New Roman"/>
                <w:b/>
                <w:color w:val="FF0000"/>
                <w:sz w:val="40"/>
              </w:rPr>
              <w:t xml:space="preserve">WRITTEN STATEMENT  </w:t>
            </w:r>
          </w:p>
          <w:p w14:paraId="258183CC" w14:textId="77777777" w:rsidR="00B345D6" w:rsidRDefault="009A12F4">
            <w:pPr>
              <w:spacing w:after="0" w:line="259" w:lineRule="auto"/>
              <w:ind w:left="0" w:right="150" w:firstLine="0"/>
              <w:jc w:val="center"/>
            </w:pPr>
            <w:r>
              <w:rPr>
                <w:rFonts w:ascii="Times New Roman" w:eastAsia="Times New Roman" w:hAnsi="Times New Roman" w:cs="Times New Roman"/>
                <w:b/>
                <w:color w:val="FF0000"/>
                <w:sz w:val="40"/>
              </w:rPr>
              <w:t xml:space="preserve">BY </w:t>
            </w:r>
          </w:p>
          <w:p w14:paraId="74A9FDB3" w14:textId="77777777" w:rsidR="00B345D6" w:rsidRDefault="009A12F4">
            <w:pPr>
              <w:spacing w:after="0" w:line="259" w:lineRule="auto"/>
              <w:ind w:left="0" w:right="148" w:firstLine="0"/>
              <w:jc w:val="center"/>
            </w:pPr>
            <w:r>
              <w:rPr>
                <w:rFonts w:ascii="Times New Roman" w:eastAsia="Times New Roman" w:hAnsi="Times New Roman" w:cs="Times New Roman"/>
                <w:b/>
                <w:color w:val="FF0000"/>
                <w:sz w:val="40"/>
              </w:rPr>
              <w:t xml:space="preserve">THE WELSH GOVERNMENT </w:t>
            </w:r>
          </w:p>
          <w:p w14:paraId="3876BF01" w14:textId="77777777" w:rsidR="00B345D6" w:rsidRDefault="009A12F4">
            <w:pPr>
              <w:spacing w:after="0" w:line="259" w:lineRule="auto"/>
              <w:ind w:left="0" w:firstLine="0"/>
            </w:pPr>
            <w:r>
              <w:rPr>
                <w:b/>
              </w:rPr>
              <w:t xml:space="preserve"> </w:t>
            </w:r>
          </w:p>
          <w:p w14:paraId="3E8A5052" w14:textId="03A2C12B" w:rsidR="00B345D6" w:rsidRDefault="009A12F4">
            <w:pPr>
              <w:spacing w:after="107" w:line="259" w:lineRule="auto"/>
              <w:ind w:left="-1477" w:firstLine="0"/>
            </w:pPr>
            <w:r>
              <w:rPr>
                <w:rFonts w:ascii="Calibri" w:eastAsia="Calibri" w:hAnsi="Calibri" w:cs="Calibri"/>
                <w:noProof/>
                <w:sz w:val="22"/>
              </w:rPr>
              <mc:AlternateContent>
                <mc:Choice Requires="wpg">
                  <w:drawing>
                    <wp:inline distT="0" distB="0" distL="0" distR="0" wp14:anchorId="5AE24D11" wp14:editId="36B3629D">
                      <wp:extent cx="5303520" cy="19050"/>
                      <wp:effectExtent l="0" t="0" r="0" b="0"/>
                      <wp:docPr id="2107" name="Group 2107"/>
                      <wp:cNvGraphicFramePr/>
                      <a:graphic xmlns:a="http://schemas.openxmlformats.org/drawingml/2006/main">
                        <a:graphicData uri="http://schemas.microsoft.com/office/word/2010/wordprocessingGroup">
                          <wpg:wgp>
                            <wpg:cNvGrpSpPr/>
                            <wpg:grpSpPr>
                              <a:xfrm>
                                <a:off x="0" y="0"/>
                                <a:ext cx="5303520" cy="19050"/>
                                <a:chOff x="0" y="0"/>
                                <a:chExt cx="5303520" cy="19050"/>
                              </a:xfrm>
                            </wpg:grpSpPr>
                            <wps:wsp>
                              <wps:cNvPr id="138" name="Shape 138"/>
                              <wps:cNvSpPr/>
                              <wps:spPr>
                                <a:xfrm>
                                  <a:off x="0" y="0"/>
                                  <a:ext cx="5303520" cy="0"/>
                                </a:xfrm>
                                <a:custGeom>
                                  <a:avLst/>
                                  <a:gdLst/>
                                  <a:ahLst/>
                                  <a:cxnLst/>
                                  <a:rect l="0" t="0" r="0" b="0"/>
                                  <a:pathLst>
                                    <a:path w="5303520">
                                      <a:moveTo>
                                        <a:pt x="0" y="0"/>
                                      </a:moveTo>
                                      <a:lnTo>
                                        <a:pt x="5303520" y="0"/>
                                      </a:lnTo>
                                    </a:path>
                                  </a:pathLst>
                                </a:custGeom>
                                <a:ln w="19050" cap="flat">
                                  <a:round/>
                                </a:ln>
                              </wps:spPr>
                              <wps:style>
                                <a:lnRef idx="1">
                                  <a:srgbClr val="FF0000"/>
                                </a:lnRef>
                                <a:fillRef idx="0">
                                  <a:srgbClr val="000000">
                                    <a:alpha val="0"/>
                                  </a:srgbClr>
                                </a:fillRef>
                                <a:effectRef idx="0">
                                  <a:scrgbClr r="0" g="0" b="0"/>
                                </a:effectRef>
                                <a:fontRef idx="none"/>
                              </wps:style>
                              <wps:bodyPr/>
                            </wps:wsp>
                          </wpg:wgp>
                        </a:graphicData>
                      </a:graphic>
                    </wp:inline>
                  </w:drawing>
                </mc:Choice>
                <mc:Fallback>
                  <w:pict>
                    <v:group w14:anchorId="25E1C2FA" id="Group 2107" o:spid="_x0000_s1026" style="width:417.6pt;height:1.5pt;mso-position-horizontal-relative:char;mso-position-vertical-relative:line" coordsize="5303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">
                      <v:shape id="Shape 138" o:spid="_x0000_s1027" style="position:absolute;width:53035;height:0;visibility:visible;mso-wrap-style:square;v-text-anchor:top" coordsize="5303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" path="m,l5303520,e" filled="f" strokecolor="red" strokeweight="1.5pt">
                        <v:path arrowok="t" textboxrect="0,0,5303520,0"/>
                      </v:shape>
                      <w10:anchorlock/>
                    </v:group>
                  </w:pict>
                </mc:Fallback>
              </mc:AlternateContent>
            </w:r>
          </w:p>
          <w:p w14:paraId="16359842" w14:textId="713CB3CF" w:rsidR="00B345D6" w:rsidRDefault="00B345D6" w:rsidP="009A12F4">
            <w:pPr>
              <w:spacing w:after="218" w:line="259" w:lineRule="auto"/>
              <w:ind w:left="0" w:firstLine="0"/>
            </w:pPr>
          </w:p>
        </w:tc>
      </w:tr>
      <w:tr w:rsidR="009A12F4" w14:paraId="0987D167" w14:textId="77777777" w:rsidTr="00013E27">
        <w:trPr>
          <w:trHeight w:val="700"/>
        </w:trPr>
        <w:tc>
          <w:tcPr>
            <w:tcW w:w="1490" w:type="dxa"/>
          </w:tcPr>
          <w:p w14:paraId="3765372A" w14:textId="77777777" w:rsidR="009A12F4" w:rsidRPr="009A12F4" w:rsidRDefault="009A12F4" w:rsidP="009A12F4">
            <w:pPr>
              <w:spacing w:after="295" w:line="259" w:lineRule="auto"/>
              <w:ind w:left="0" w:firstLine="0"/>
            </w:pPr>
            <w:r>
              <w:rPr>
                <w:b/>
              </w:rPr>
              <w:t xml:space="preserve">TITLE  </w:t>
            </w:r>
          </w:p>
        </w:tc>
        <w:tc>
          <w:tcPr>
            <w:tcW w:w="6948" w:type="dxa"/>
          </w:tcPr>
          <w:p w14:paraId="41021FB9" w14:textId="3E827739" w:rsidR="009A12F4" w:rsidRDefault="009A12F4" w:rsidP="00E84528">
            <w:pPr>
              <w:spacing w:after="231" w:line="259" w:lineRule="auto"/>
              <w:ind w:left="60" w:firstLine="0"/>
              <w:rPr>
                <w:rFonts w:ascii="Calibri" w:eastAsia="Calibri" w:hAnsi="Calibri" w:cs="Calibri"/>
                <w:noProof/>
                <w:sz w:val="22"/>
              </w:rPr>
            </w:pPr>
            <w:bookmarkStart w:id="0" w:name="_GoBack"/>
            <w:r>
              <w:rPr>
                <w:b/>
              </w:rPr>
              <w:t>The Public Procurement (Amendment</w:t>
            </w:r>
            <w:r w:rsidR="00E84528">
              <w:rPr>
                <w:b/>
              </w:rPr>
              <w:t xml:space="preserve"> etc.</w:t>
            </w:r>
            <w:r>
              <w:rPr>
                <w:b/>
              </w:rPr>
              <w:t xml:space="preserve">) (EU Exit) Regulations </w:t>
            </w:r>
            <w:r w:rsidR="00E84528">
              <w:rPr>
                <w:b/>
              </w:rPr>
              <w:t>2020</w:t>
            </w:r>
            <w:bookmarkEnd w:id="0"/>
          </w:p>
        </w:tc>
      </w:tr>
      <w:tr w:rsidR="009A12F4" w14:paraId="54765D43" w14:textId="77777777" w:rsidTr="00013E27">
        <w:trPr>
          <w:trHeight w:val="570"/>
        </w:trPr>
        <w:tc>
          <w:tcPr>
            <w:tcW w:w="1490" w:type="dxa"/>
          </w:tcPr>
          <w:p w14:paraId="3A79240D" w14:textId="77777777" w:rsidR="009A12F4" w:rsidRDefault="009A12F4" w:rsidP="009A12F4">
            <w:pPr>
              <w:spacing w:after="218" w:line="259" w:lineRule="auto"/>
              <w:ind w:left="0" w:firstLine="0"/>
              <w:rPr>
                <w:b/>
                <w:color w:val="FF0000"/>
              </w:rPr>
            </w:pPr>
            <w:r>
              <w:rPr>
                <w:b/>
              </w:rPr>
              <w:t xml:space="preserve">DATE </w:t>
            </w:r>
          </w:p>
        </w:tc>
        <w:tc>
          <w:tcPr>
            <w:tcW w:w="6948" w:type="dxa"/>
          </w:tcPr>
          <w:p w14:paraId="5468D313" w14:textId="492A8E65" w:rsidR="009A12F4" w:rsidRDefault="00E84528" w:rsidP="00BF4615">
            <w:pPr>
              <w:spacing w:after="231" w:line="259" w:lineRule="auto"/>
              <w:ind w:left="0" w:firstLine="0"/>
              <w:rPr>
                <w:rFonts w:ascii="Calibri" w:eastAsia="Calibri" w:hAnsi="Calibri" w:cs="Calibri"/>
                <w:noProof/>
                <w:sz w:val="22"/>
              </w:rPr>
            </w:pPr>
            <w:r>
              <w:rPr>
                <w:b/>
              </w:rPr>
              <w:t xml:space="preserve"> </w:t>
            </w:r>
            <w:r w:rsidR="00BF4615">
              <w:rPr>
                <w:b/>
              </w:rPr>
              <w:t>12</w:t>
            </w:r>
            <w:r>
              <w:rPr>
                <w:b/>
              </w:rPr>
              <w:t xml:space="preserve"> Oct</w:t>
            </w:r>
            <w:r w:rsidR="00606DAA">
              <w:rPr>
                <w:b/>
              </w:rPr>
              <w:t>o</w:t>
            </w:r>
            <w:r>
              <w:rPr>
                <w:b/>
              </w:rPr>
              <w:t>ber 2020</w:t>
            </w:r>
          </w:p>
        </w:tc>
      </w:tr>
      <w:tr w:rsidR="009A12F4" w14:paraId="6D3625D7" w14:textId="77777777" w:rsidTr="00013E27">
        <w:trPr>
          <w:trHeight w:val="502"/>
        </w:trPr>
        <w:tc>
          <w:tcPr>
            <w:tcW w:w="1490" w:type="dxa"/>
          </w:tcPr>
          <w:p w14:paraId="5BE4B99E" w14:textId="77777777" w:rsidR="009A12F4" w:rsidRDefault="009A12F4" w:rsidP="009A12F4">
            <w:pPr>
              <w:spacing w:after="98" w:line="259" w:lineRule="auto"/>
              <w:ind w:left="0" w:firstLine="0"/>
              <w:rPr>
                <w:b/>
                <w:color w:val="FF0000"/>
              </w:rPr>
            </w:pPr>
            <w:r>
              <w:rPr>
                <w:b/>
              </w:rPr>
              <w:t xml:space="preserve">BY </w:t>
            </w:r>
          </w:p>
        </w:tc>
        <w:tc>
          <w:tcPr>
            <w:tcW w:w="6948" w:type="dxa"/>
          </w:tcPr>
          <w:p w14:paraId="70B1B9E9" w14:textId="4F14E381" w:rsidR="009A12F4" w:rsidRDefault="009A12F4" w:rsidP="001656E7">
            <w:pPr>
              <w:spacing w:after="231" w:line="259" w:lineRule="auto"/>
              <w:ind w:left="60" w:firstLine="0"/>
              <w:rPr>
                <w:rFonts w:ascii="Calibri" w:eastAsia="Calibri" w:hAnsi="Calibri" w:cs="Calibri"/>
                <w:noProof/>
                <w:sz w:val="22"/>
              </w:rPr>
            </w:pPr>
            <w:r>
              <w:rPr>
                <w:b/>
              </w:rPr>
              <w:t xml:space="preserve">Rebecca Evans </w:t>
            </w:r>
            <w:r w:rsidR="001656E7">
              <w:rPr>
                <w:b/>
              </w:rPr>
              <w:t>MS</w:t>
            </w:r>
            <w:r>
              <w:rPr>
                <w:b/>
              </w:rPr>
              <w:t>, Minister for Finance and Trefnydd</w:t>
            </w:r>
          </w:p>
        </w:tc>
      </w:tr>
      <w:tr w:rsidR="00B345D6" w14:paraId="231ABCD3" w14:textId="77777777" w:rsidTr="009A12F4">
        <w:trPr>
          <w:trHeight w:val="285"/>
        </w:trPr>
        <w:tc>
          <w:tcPr>
            <w:tcW w:w="8438" w:type="dxa"/>
            <w:gridSpan w:val="2"/>
            <w:tcBorders>
              <w:left w:val="nil"/>
              <w:bottom w:val="nil"/>
              <w:right w:val="nil"/>
            </w:tcBorders>
          </w:tcPr>
          <w:p w14:paraId="51568F3B" w14:textId="77777777" w:rsidR="009A12F4" w:rsidRDefault="009A12F4">
            <w:pPr>
              <w:spacing w:after="0" w:line="259" w:lineRule="auto"/>
              <w:ind w:left="0" w:firstLine="0"/>
              <w:rPr>
                <w:b/>
              </w:rPr>
            </w:pPr>
          </w:p>
          <w:p w14:paraId="00C1BA75" w14:textId="1CA6DC32" w:rsidR="00B345D6" w:rsidRDefault="009A12F4" w:rsidP="001656E7">
            <w:pPr>
              <w:spacing w:after="0" w:line="259" w:lineRule="auto"/>
              <w:ind w:left="0" w:firstLine="0"/>
            </w:pPr>
            <w:r w:rsidRPr="001656E7">
              <w:rPr>
                <w:b/>
              </w:rPr>
              <w:t>The Public Procurement (Amendment</w:t>
            </w:r>
            <w:r w:rsidR="001656E7" w:rsidRPr="001656E7">
              <w:rPr>
                <w:b/>
              </w:rPr>
              <w:t xml:space="preserve"> etc.</w:t>
            </w:r>
            <w:r w:rsidRPr="001656E7">
              <w:rPr>
                <w:b/>
              </w:rPr>
              <w:t xml:space="preserve">) (EU Exit) Regulations </w:t>
            </w:r>
            <w:r w:rsidR="001656E7" w:rsidRPr="001656E7">
              <w:rPr>
                <w:b/>
              </w:rPr>
              <w:t>2020</w:t>
            </w:r>
            <w:r w:rsidR="001656E7" w:rsidRPr="001656E7">
              <w:rPr>
                <w:b/>
                <w:sz w:val="28"/>
              </w:rPr>
              <w:t xml:space="preserve"> </w:t>
            </w:r>
          </w:p>
        </w:tc>
      </w:tr>
    </w:tbl>
    <w:p w14:paraId="53CAA579" w14:textId="77777777" w:rsidR="00B345D6" w:rsidRDefault="009A12F4">
      <w:pPr>
        <w:spacing w:after="0" w:line="259" w:lineRule="auto"/>
        <w:ind w:left="0" w:firstLine="0"/>
      </w:pPr>
      <w:r>
        <w:rPr>
          <w:b/>
        </w:rPr>
        <w:t xml:space="preserve"> </w:t>
      </w:r>
    </w:p>
    <w:p w14:paraId="203AE87D" w14:textId="2F144524" w:rsidR="00B345D6" w:rsidRDefault="009A12F4">
      <w:pPr>
        <w:pStyle w:val="Heading1"/>
        <w:ind w:left="-5"/>
      </w:pPr>
      <w:r>
        <w:t>The Law which is being amended</w:t>
      </w:r>
      <w:r w:rsidR="001656E7">
        <w:t>:</w:t>
      </w:r>
      <w:r>
        <w:t xml:space="preserve"> </w:t>
      </w:r>
    </w:p>
    <w:p w14:paraId="798463F8" w14:textId="511C5EC9" w:rsidR="001656E7" w:rsidRPr="001656E7" w:rsidRDefault="001656E7" w:rsidP="00606899">
      <w:pPr>
        <w:numPr>
          <w:ilvl w:val="0"/>
          <w:numId w:val="1"/>
        </w:numPr>
        <w:ind w:right="113" w:hanging="360"/>
      </w:pPr>
      <w:r w:rsidRPr="001656E7">
        <w:t>Public Procurement (Amendment etc.) (EU Exit) Regulations 2019 (2019/560)</w:t>
      </w:r>
    </w:p>
    <w:p w14:paraId="5908BF4B" w14:textId="354D1394" w:rsidR="001656E7" w:rsidRPr="00606899" w:rsidRDefault="001656E7">
      <w:pPr>
        <w:numPr>
          <w:ilvl w:val="0"/>
          <w:numId w:val="1"/>
        </w:numPr>
        <w:ind w:right="113" w:hanging="360"/>
      </w:pPr>
      <w:r w:rsidRPr="00AA22CC">
        <w:rPr>
          <w:rFonts w:eastAsia="Calibri"/>
        </w:rPr>
        <w:t>Public Procurement (Amendment etc.) (EU Exit) Regulations 2019 (2019/623)</w:t>
      </w:r>
    </w:p>
    <w:p w14:paraId="2C772F24" w14:textId="49D02B81" w:rsidR="001656E7" w:rsidRDefault="001656E7" w:rsidP="001656E7">
      <w:pPr>
        <w:numPr>
          <w:ilvl w:val="0"/>
          <w:numId w:val="1"/>
        </w:numPr>
        <w:ind w:right="113" w:hanging="360"/>
      </w:pPr>
      <w:r>
        <w:t xml:space="preserve">The Greater London Authority Act 1999 </w:t>
      </w:r>
    </w:p>
    <w:p w14:paraId="084CDC67" w14:textId="77777777" w:rsidR="00B345D6" w:rsidRDefault="009A12F4">
      <w:pPr>
        <w:numPr>
          <w:ilvl w:val="0"/>
          <w:numId w:val="1"/>
        </w:numPr>
        <w:ind w:right="113" w:hanging="360"/>
      </w:pPr>
      <w:r>
        <w:t xml:space="preserve">The Equality Act 2010 </w:t>
      </w:r>
    </w:p>
    <w:p w14:paraId="07B002FC" w14:textId="77777777" w:rsidR="00B345D6" w:rsidRDefault="009A12F4">
      <w:pPr>
        <w:numPr>
          <w:ilvl w:val="0"/>
          <w:numId w:val="1"/>
        </w:numPr>
        <w:ind w:right="113" w:hanging="360"/>
      </w:pPr>
      <w:r>
        <w:t xml:space="preserve">The Public Services (Social Value) Act 2012 </w:t>
      </w:r>
    </w:p>
    <w:p w14:paraId="066F2D6E" w14:textId="77777777" w:rsidR="00B345D6" w:rsidRDefault="009A12F4">
      <w:pPr>
        <w:numPr>
          <w:ilvl w:val="0"/>
          <w:numId w:val="1"/>
        </w:numPr>
        <w:ind w:right="113" w:hanging="360"/>
      </w:pPr>
      <w:r>
        <w:lastRenderedPageBreak/>
        <w:t xml:space="preserve">The Public Contracts Regulations 2015 </w:t>
      </w:r>
    </w:p>
    <w:p w14:paraId="722E8B0E" w14:textId="77777777" w:rsidR="00B345D6" w:rsidRDefault="009A12F4">
      <w:pPr>
        <w:numPr>
          <w:ilvl w:val="0"/>
          <w:numId w:val="1"/>
        </w:numPr>
        <w:ind w:right="113" w:hanging="360"/>
      </w:pPr>
      <w:r>
        <w:t xml:space="preserve">The Concession Contracts Regulations 2016 </w:t>
      </w:r>
    </w:p>
    <w:p w14:paraId="7E999DD4" w14:textId="77777777" w:rsidR="00B345D6" w:rsidRDefault="009A12F4">
      <w:pPr>
        <w:numPr>
          <w:ilvl w:val="0"/>
          <w:numId w:val="1"/>
        </w:numPr>
        <w:ind w:right="113" w:hanging="360"/>
      </w:pPr>
      <w:r>
        <w:t xml:space="preserve">The Utilities Contracts Regulations 2016 </w:t>
      </w:r>
    </w:p>
    <w:p w14:paraId="6648D70F" w14:textId="77777777" w:rsidR="00B345D6" w:rsidRDefault="009A12F4">
      <w:pPr>
        <w:numPr>
          <w:ilvl w:val="0"/>
          <w:numId w:val="1"/>
        </w:numPr>
        <w:ind w:right="113" w:hanging="360"/>
      </w:pPr>
      <w:r>
        <w:t xml:space="preserve">The Public Contracts Regulations 2006 </w:t>
      </w:r>
    </w:p>
    <w:p w14:paraId="136F3CD5" w14:textId="77777777" w:rsidR="00B345D6" w:rsidRDefault="009A12F4">
      <w:pPr>
        <w:numPr>
          <w:ilvl w:val="0"/>
          <w:numId w:val="1"/>
        </w:numPr>
        <w:ind w:right="113" w:hanging="360"/>
      </w:pPr>
      <w:r>
        <w:t xml:space="preserve">The Utilities Contracts Regulations 2006 </w:t>
      </w:r>
    </w:p>
    <w:p w14:paraId="2D7D7DD0" w14:textId="77777777" w:rsidR="00B345D6" w:rsidRDefault="009A12F4">
      <w:pPr>
        <w:numPr>
          <w:ilvl w:val="0"/>
          <w:numId w:val="1"/>
        </w:numPr>
        <w:ind w:right="113" w:hanging="360"/>
      </w:pPr>
      <w:r>
        <w:t xml:space="preserve">The Service Charges (Consultation Requirements) (England) Regulations 2003 </w:t>
      </w:r>
    </w:p>
    <w:p w14:paraId="42506483" w14:textId="77777777" w:rsidR="00B345D6" w:rsidRDefault="009A12F4">
      <w:pPr>
        <w:numPr>
          <w:ilvl w:val="0"/>
          <w:numId w:val="1"/>
        </w:numPr>
        <w:ind w:right="113" w:hanging="360"/>
      </w:pPr>
      <w:r>
        <w:t xml:space="preserve">The Provision of Services Regulations 2009 </w:t>
      </w:r>
    </w:p>
    <w:p w14:paraId="212CC82A" w14:textId="17E116D4" w:rsidR="00B345D6" w:rsidRDefault="009A12F4">
      <w:pPr>
        <w:numPr>
          <w:ilvl w:val="0"/>
          <w:numId w:val="1"/>
        </w:numPr>
        <w:ind w:right="113" w:hanging="360"/>
      </w:pPr>
      <w:r>
        <w:t xml:space="preserve">The Water Industry (Specified Infrastructure Projects) (English Undertakers) Regulations 2013 </w:t>
      </w:r>
    </w:p>
    <w:p w14:paraId="31356F86" w14:textId="044DB70F" w:rsidR="001656E7" w:rsidRDefault="001656E7">
      <w:pPr>
        <w:numPr>
          <w:ilvl w:val="0"/>
          <w:numId w:val="1"/>
        </w:numPr>
        <w:ind w:right="113" w:hanging="360"/>
      </w:pPr>
      <w:r>
        <w:t>Annex 16 to the EEA Agreement</w:t>
      </w:r>
    </w:p>
    <w:p w14:paraId="4E07AD2D" w14:textId="77777777" w:rsidR="00B345D6" w:rsidRDefault="009A12F4">
      <w:pPr>
        <w:numPr>
          <w:ilvl w:val="0"/>
          <w:numId w:val="1"/>
        </w:numPr>
        <w:ind w:right="113" w:hanging="360"/>
      </w:pPr>
      <w:r>
        <w:t xml:space="preserve">Regulation 2195/2002 of the European Parliament and of the Council on the Common Procurement Vocabulary  </w:t>
      </w:r>
    </w:p>
    <w:p w14:paraId="178B80D9" w14:textId="77777777" w:rsidR="00B345D6" w:rsidRDefault="009A12F4">
      <w:pPr>
        <w:numPr>
          <w:ilvl w:val="0"/>
          <w:numId w:val="1"/>
        </w:numPr>
        <w:ind w:right="113" w:hanging="360"/>
      </w:pPr>
      <w:r>
        <w:t xml:space="preserve">Commission Decision 2006/211/EC  </w:t>
      </w:r>
    </w:p>
    <w:p w14:paraId="5DDAD514" w14:textId="77777777" w:rsidR="00B345D6" w:rsidRDefault="009A12F4">
      <w:pPr>
        <w:numPr>
          <w:ilvl w:val="0"/>
          <w:numId w:val="1"/>
        </w:numPr>
        <w:ind w:right="113" w:hanging="360"/>
      </w:pPr>
      <w:r>
        <w:t xml:space="preserve">Commission Decision 2007/141/EC </w:t>
      </w:r>
    </w:p>
    <w:p w14:paraId="2F2D4EB6" w14:textId="77777777" w:rsidR="00B345D6" w:rsidRDefault="009A12F4">
      <w:pPr>
        <w:numPr>
          <w:ilvl w:val="0"/>
          <w:numId w:val="1"/>
        </w:numPr>
        <w:ind w:right="113" w:hanging="360"/>
      </w:pPr>
      <w:r>
        <w:t xml:space="preserve">Commission Decision 2010/192/EU </w:t>
      </w:r>
    </w:p>
    <w:p w14:paraId="73EBB4C6" w14:textId="77777777" w:rsidR="001656E7" w:rsidRDefault="009A12F4">
      <w:pPr>
        <w:numPr>
          <w:ilvl w:val="0"/>
          <w:numId w:val="1"/>
        </w:numPr>
        <w:ind w:right="113" w:hanging="360"/>
      </w:pPr>
      <w:r>
        <w:t>Commission Implementing Regulation (EU) No 2015/1986</w:t>
      </w:r>
    </w:p>
    <w:p w14:paraId="7F6EDEF2" w14:textId="77777777" w:rsidR="001656E7" w:rsidRDefault="001656E7">
      <w:pPr>
        <w:numPr>
          <w:ilvl w:val="0"/>
          <w:numId w:val="1"/>
        </w:numPr>
        <w:ind w:right="113" w:hanging="360"/>
      </w:pPr>
      <w:r>
        <w:t>Commission Implementing Regulation (EU)2016/7</w:t>
      </w:r>
    </w:p>
    <w:p w14:paraId="78316BEA" w14:textId="66FC1CA5" w:rsidR="00B345D6" w:rsidRDefault="001656E7">
      <w:pPr>
        <w:numPr>
          <w:ilvl w:val="0"/>
          <w:numId w:val="1"/>
        </w:numPr>
        <w:ind w:right="113" w:hanging="360"/>
      </w:pPr>
      <w:r>
        <w:t>Commission Implementing Decision (EU) 2017/1870</w:t>
      </w:r>
      <w:r w:rsidR="009A12F4">
        <w:t xml:space="preserve"> </w:t>
      </w:r>
    </w:p>
    <w:p w14:paraId="4AAF9DE3" w14:textId="0794952D" w:rsidR="00B345D6" w:rsidRDefault="00B345D6">
      <w:pPr>
        <w:spacing w:after="0" w:line="259" w:lineRule="auto"/>
        <w:ind w:left="0" w:firstLine="0"/>
      </w:pPr>
    </w:p>
    <w:p w14:paraId="673EB71E" w14:textId="77777777" w:rsidR="00F058E7" w:rsidRDefault="00F058E7">
      <w:pPr>
        <w:pStyle w:val="Heading1"/>
        <w:ind w:left="-5"/>
      </w:pPr>
    </w:p>
    <w:p w14:paraId="4E48F637" w14:textId="6A2B99F0" w:rsidR="00B345D6" w:rsidRDefault="009A12F4">
      <w:pPr>
        <w:pStyle w:val="Heading1"/>
        <w:ind w:left="-5"/>
      </w:pPr>
      <w:r>
        <w:t xml:space="preserve">Any impact the SI may have on the </w:t>
      </w:r>
      <w:r w:rsidR="00F058E7">
        <w:t xml:space="preserve">Senedd’s </w:t>
      </w:r>
      <w:r>
        <w:t xml:space="preserve">legislative competence and/or the Welsh Ministers’ executive competence </w:t>
      </w:r>
    </w:p>
    <w:p w14:paraId="53A42737" w14:textId="77777777" w:rsidR="00F058E7" w:rsidRPr="00F058E7" w:rsidRDefault="00F058E7" w:rsidP="00F058E7"/>
    <w:p w14:paraId="601A7345" w14:textId="77777777" w:rsidR="00B345D6" w:rsidRDefault="009A12F4" w:rsidP="004B3409">
      <w:pPr>
        <w:ind w:left="0" w:right="113" w:firstLine="0"/>
      </w:pPr>
      <w:r>
        <w:t xml:space="preserve">This SI contains provisions that enable functions to be exercised by the Minister for the </w:t>
      </w:r>
    </w:p>
    <w:p w14:paraId="2FEB087A" w14:textId="45B4BDE9" w:rsidR="00B345D6" w:rsidRDefault="009A12F4" w:rsidP="004B3409">
      <w:pPr>
        <w:spacing w:after="130"/>
        <w:ind w:left="0" w:right="113"/>
      </w:pPr>
      <w:r>
        <w:lastRenderedPageBreak/>
        <w:t xml:space="preserve">Cabinet Office, some of which require the prior consent of the Welsh Ministers in relation to Devolved Welsh Authorities. The SI also contains provisions that enable functions to be exercised by either the Cabinet Office or the Minister for the Cabinet Office, and the Welsh Ministers concurrently in relation to Devolved Welsh Authorities.  </w:t>
      </w:r>
    </w:p>
    <w:p w14:paraId="66B0F1E1" w14:textId="77777777" w:rsidR="00B345D6" w:rsidRDefault="009A12F4">
      <w:pPr>
        <w:spacing w:after="0" w:line="259" w:lineRule="auto"/>
        <w:ind w:left="0" w:firstLine="0"/>
      </w:pPr>
      <w:r>
        <w:t xml:space="preserve"> </w:t>
      </w:r>
    </w:p>
    <w:p w14:paraId="2D3C4278" w14:textId="25BD8E0A" w:rsidR="00B345D6" w:rsidRDefault="009A12F4" w:rsidP="004B3409">
      <w:pPr>
        <w:ind w:left="0" w:right="113"/>
      </w:pPr>
      <w:r>
        <w:t xml:space="preserve">These functions (Minister for the Cabinet Office/Cabinet Office) would constitute functions of either a Minister of the Crown or public authority (Cabinet Office) for the purposes Schedule 7B of the Government of Wales 2006, and this therefore will be a relevant consideration in the context of the </w:t>
      </w:r>
      <w:r w:rsidR="00F058E7">
        <w:t xml:space="preserve">Senedd’s </w:t>
      </w:r>
      <w:r>
        <w:t xml:space="preserve">competence to legislate in these areas in the future.  </w:t>
      </w:r>
    </w:p>
    <w:p w14:paraId="7DD04521" w14:textId="054A0F12" w:rsidR="00F058E7" w:rsidRDefault="00F058E7">
      <w:pPr>
        <w:ind w:left="62" w:right="113"/>
      </w:pPr>
    </w:p>
    <w:p w14:paraId="6206CDCA" w14:textId="77777777" w:rsidR="00F058E7" w:rsidRPr="00F058E7" w:rsidRDefault="00F058E7" w:rsidP="00F058E7">
      <w:pPr>
        <w:spacing w:after="0" w:line="240" w:lineRule="auto"/>
        <w:ind w:left="0" w:firstLine="0"/>
        <w:rPr>
          <w:rFonts w:eastAsia="Calibri"/>
          <w:color w:val="auto"/>
          <w:lang w:eastAsia="en-US"/>
        </w:rPr>
      </w:pPr>
      <w:r w:rsidRPr="00F058E7">
        <w:rPr>
          <w:rFonts w:eastAsia="Calibri"/>
          <w:color w:val="auto"/>
          <w:lang w:eastAsia="en-US"/>
        </w:rPr>
        <w:t>The effect of the concurrent functions contained in this SI have potential to engage the consent requirements in Schedule 7B to GoWA and as such represent a potential restriction on the future competence of the Senedd.  However, we are in negotiations with the OSSfW in relation to a s.109 Order to amend Schedule 7B so as to negate the potential restriction on the future competence of the Senedd.</w:t>
      </w:r>
    </w:p>
    <w:p w14:paraId="0530EAB4" w14:textId="77777777" w:rsidR="00F058E7" w:rsidRDefault="00F058E7">
      <w:pPr>
        <w:ind w:left="62" w:right="113"/>
      </w:pPr>
    </w:p>
    <w:p w14:paraId="7BCEC77D" w14:textId="73FEE727" w:rsidR="00B345D6" w:rsidRDefault="00B345D6">
      <w:pPr>
        <w:spacing w:after="0" w:line="259" w:lineRule="auto"/>
        <w:ind w:left="0" w:firstLine="0"/>
      </w:pPr>
    </w:p>
    <w:p w14:paraId="46C7F4B4" w14:textId="15E0DE9E" w:rsidR="00B345D6" w:rsidRDefault="009A12F4">
      <w:pPr>
        <w:pStyle w:val="Heading1"/>
        <w:ind w:left="-5"/>
        <w:rPr>
          <w:b w:val="0"/>
          <w:i/>
        </w:rPr>
      </w:pPr>
      <w:r>
        <w:t xml:space="preserve">The purpose of the amendments </w:t>
      </w:r>
      <w:r>
        <w:rPr>
          <w:b w:val="0"/>
          <w:i/>
        </w:rPr>
        <w:t xml:space="preserve"> </w:t>
      </w:r>
    </w:p>
    <w:p w14:paraId="6EC90A9E" w14:textId="77777777" w:rsidR="00F058E7" w:rsidRPr="00F058E7" w:rsidRDefault="00F058E7" w:rsidP="009C2249"/>
    <w:p w14:paraId="5EDBD1C8" w14:textId="5789FE17" w:rsidR="009C2249" w:rsidRPr="009C2249" w:rsidRDefault="009A12F4" w:rsidP="009C2249">
      <w:pPr>
        <w:pStyle w:val="NoSpacing"/>
        <w:ind w:left="0"/>
        <w:rPr>
          <w:rFonts w:eastAsia="Calibri"/>
          <w:color w:val="auto"/>
          <w:lang w:eastAsia="en-US"/>
        </w:rPr>
      </w:pPr>
      <w:r>
        <w:t xml:space="preserve">The purpose of the amendments is </w:t>
      </w:r>
      <w:r w:rsidR="009C2249">
        <w:t>twofold. Firstly, it</w:t>
      </w:r>
      <w:r>
        <w:t xml:space="preserve"> correct</w:t>
      </w:r>
      <w:r w:rsidR="009C2249">
        <w:t>s</w:t>
      </w:r>
      <w:r>
        <w:t xml:space="preserve"> deficiencies in legislation relating to public procurement (including consequential amendments to non-procurement legislation) arising from the </w:t>
      </w:r>
      <w:r w:rsidR="009C2249">
        <w:t>withdrawal of the United Kingdom from</w:t>
      </w:r>
      <w:r>
        <w:t xml:space="preserve"> the European Union.</w:t>
      </w:r>
      <w:r w:rsidR="009C2249">
        <w:t xml:space="preserve"> </w:t>
      </w:r>
      <w:r w:rsidR="009C2249" w:rsidRPr="009C2249">
        <w:rPr>
          <w:rFonts w:eastAsia="Calibri"/>
          <w:color w:val="auto"/>
          <w:lang w:eastAsia="en-US"/>
        </w:rPr>
        <w:t>Secondly, t</w:t>
      </w:r>
      <w:r w:rsidR="009C2249" w:rsidRPr="009C2249">
        <w:rPr>
          <w:rFonts w:eastAsia="Calibri" w:cs="Times New Roman"/>
          <w:color w:val="auto"/>
          <w:lang w:eastAsia="en-US"/>
        </w:rPr>
        <w:t>he Regulations give effect to Title 8 of Part 3 of the Withdrawal Agreement</w:t>
      </w:r>
      <w:r w:rsidR="00606DAA">
        <w:rPr>
          <w:rFonts w:eastAsia="Calibri" w:cs="Times New Roman"/>
          <w:color w:val="auto"/>
          <w:lang w:eastAsia="en-US"/>
        </w:rPr>
        <w:t xml:space="preserve"> (which includes the NI </w:t>
      </w:r>
      <w:r w:rsidR="00606DAA">
        <w:rPr>
          <w:rFonts w:eastAsia="Calibri" w:cs="Times New Roman"/>
          <w:color w:val="auto"/>
          <w:lang w:eastAsia="en-US"/>
        </w:rPr>
        <w:lastRenderedPageBreak/>
        <w:t>Protocol)</w:t>
      </w:r>
      <w:r w:rsidR="009C2249" w:rsidRPr="009C2249">
        <w:rPr>
          <w:rFonts w:eastAsia="Calibri" w:cs="Times New Roman"/>
          <w:color w:val="auto"/>
          <w:lang w:eastAsia="en-US"/>
        </w:rPr>
        <w:t xml:space="preserve"> and Title 5 of Part 3 of the EEA EFTA Separation Agreement (together, the relevant withdrawal provisions), to ensure that retained EU law in the field of public procurement operates effectively after the Transition Period ends on 31 December 2020.</w:t>
      </w:r>
    </w:p>
    <w:p w14:paraId="5B5E67B0" w14:textId="15DBB02D" w:rsidR="00F058E7" w:rsidRDefault="00F058E7">
      <w:pPr>
        <w:ind w:left="62" w:right="113"/>
      </w:pPr>
    </w:p>
    <w:p w14:paraId="0003859F" w14:textId="63E58A53" w:rsidR="00B345D6" w:rsidRDefault="009A12F4" w:rsidP="004B3409">
      <w:pPr>
        <w:ind w:left="0" w:right="113" w:firstLine="0"/>
      </w:pPr>
      <w:r>
        <w:t>The Regulations also amend section 155(2) and (3) of the Equality Act 2010 to define a term by reference to the Public Contract Regulations 2015, rather than by reference to the Public Sector Directive</w:t>
      </w:r>
      <w:r w:rsidR="00F058E7">
        <w:t xml:space="preserve"> (2014/24/EU)</w:t>
      </w:r>
      <w:r>
        <w:t xml:space="preserve">. This amendment is technical in nature and is required in order for this provision to operate effectively after </w:t>
      </w:r>
      <w:r w:rsidR="00F058E7">
        <w:t>the end of the transition period</w:t>
      </w:r>
      <w:r>
        <w:t xml:space="preserve">. </w:t>
      </w:r>
    </w:p>
    <w:p w14:paraId="67C6635C" w14:textId="15C15F05" w:rsidR="00F058E7" w:rsidRDefault="00F058E7" w:rsidP="009C2249">
      <w:pPr>
        <w:ind w:left="62" w:right="113"/>
      </w:pPr>
    </w:p>
    <w:p w14:paraId="5C65948B" w14:textId="4EDDB851" w:rsidR="00F058E7" w:rsidRPr="00F058E7" w:rsidRDefault="00F058E7" w:rsidP="009C2249">
      <w:pPr>
        <w:spacing w:after="0" w:line="240" w:lineRule="auto"/>
        <w:ind w:left="0" w:firstLine="0"/>
        <w:rPr>
          <w:rFonts w:eastAsia="Calibri"/>
          <w:color w:val="auto"/>
          <w:lang w:eastAsia="en-US"/>
        </w:rPr>
      </w:pPr>
      <w:r w:rsidRPr="00F058E7">
        <w:rPr>
          <w:rFonts w:eastAsia="Calibri" w:cs="Times New Roman"/>
          <w:color w:val="auto"/>
          <w:lang w:eastAsia="en-US"/>
        </w:rPr>
        <w:t>The previous Public Procurement (Amendment etc.) (EU Exit) Regulations 2019 (2019/560) and the Public Procurement (Amendment etc.) (EU Exit) Regulations 2019 (2019/623) have been revoked and replaced with these Regulations.</w:t>
      </w:r>
    </w:p>
    <w:p w14:paraId="2229CB47" w14:textId="77777777" w:rsidR="00B345D6" w:rsidRDefault="009A12F4" w:rsidP="009C2249">
      <w:pPr>
        <w:spacing w:after="0" w:line="259" w:lineRule="auto"/>
        <w:ind w:left="0" w:firstLine="0"/>
      </w:pPr>
      <w:r>
        <w:t xml:space="preserve"> </w:t>
      </w:r>
    </w:p>
    <w:p w14:paraId="38682435" w14:textId="3E6C8441" w:rsidR="00B345D6" w:rsidRDefault="009A12F4" w:rsidP="004B3409">
      <w:pPr>
        <w:ind w:left="0" w:right="113" w:firstLine="0"/>
        <w:rPr>
          <w:rFonts w:eastAsia="Times New Roman"/>
          <w:color w:val="auto"/>
          <w:szCs w:val="20"/>
          <w:lang w:eastAsia="en-US"/>
        </w:rPr>
      </w:pPr>
      <w:r>
        <w:t xml:space="preserve">The SI and accompanying Explanatory Memorandum, setting out the effect of each amendment is available here: </w:t>
      </w:r>
      <w:hyperlink r:id="rId12" w:history="1">
        <w:r w:rsidR="00BF4615" w:rsidRPr="00723CCF">
          <w:rPr>
            <w:rStyle w:val="Hyperlink"/>
            <w:rFonts w:eastAsia="Times New Roman"/>
            <w:szCs w:val="20"/>
            <w:lang w:eastAsia="en-US"/>
          </w:rPr>
          <w:t>https://www.legislation.gov.uk/ukdsi/2020/9780348212952</w:t>
        </w:r>
      </w:hyperlink>
    </w:p>
    <w:p w14:paraId="55636003" w14:textId="429CF68B" w:rsidR="00BF4615" w:rsidRDefault="00BF4615" w:rsidP="004B3409">
      <w:pPr>
        <w:ind w:left="0" w:right="113" w:firstLine="0"/>
        <w:rPr>
          <w:rFonts w:eastAsia="Times New Roman"/>
          <w:color w:val="auto"/>
          <w:szCs w:val="20"/>
          <w:lang w:eastAsia="en-US"/>
        </w:rPr>
      </w:pPr>
    </w:p>
    <w:p w14:paraId="1AAAFC01" w14:textId="77777777" w:rsidR="00BF4615" w:rsidRDefault="00BF4615" w:rsidP="004B3409">
      <w:pPr>
        <w:ind w:left="0" w:right="113" w:firstLine="0"/>
      </w:pPr>
    </w:p>
    <w:p w14:paraId="616551D5" w14:textId="306455D6" w:rsidR="009C2249" w:rsidRDefault="009C2249">
      <w:pPr>
        <w:spacing w:after="0" w:line="259" w:lineRule="auto"/>
        <w:ind w:left="0" w:firstLine="0"/>
      </w:pPr>
    </w:p>
    <w:p w14:paraId="7A75550E" w14:textId="77777777" w:rsidR="009C2249" w:rsidRPr="009C2249" w:rsidRDefault="009C2249" w:rsidP="009C2249">
      <w:pPr>
        <w:keepNext/>
        <w:tabs>
          <w:tab w:val="num" w:pos="709"/>
        </w:tabs>
        <w:spacing w:after="0" w:line="240" w:lineRule="auto"/>
        <w:ind w:left="0" w:firstLine="0"/>
        <w:outlineLvl w:val="0"/>
        <w:rPr>
          <w:rFonts w:eastAsia="Times New Roman"/>
          <w:b/>
          <w:bCs/>
          <w:color w:val="auto"/>
          <w:kern w:val="32"/>
          <w:szCs w:val="32"/>
          <w:lang w:eastAsia="en-US"/>
        </w:rPr>
      </w:pPr>
      <w:r w:rsidRPr="009C2249">
        <w:rPr>
          <w:rFonts w:eastAsia="Times New Roman"/>
          <w:b/>
          <w:bCs/>
          <w:color w:val="auto"/>
          <w:kern w:val="32"/>
          <w:szCs w:val="24"/>
          <w:lang w:eastAsia="en-US"/>
        </w:rPr>
        <w:t xml:space="preserve">Matters of special interest to the Legislation, Justice and Constitution Committee </w:t>
      </w:r>
    </w:p>
    <w:p w14:paraId="024CF951" w14:textId="77777777" w:rsidR="009C2249" w:rsidRPr="009C2249" w:rsidRDefault="009C2249" w:rsidP="009C2249">
      <w:pPr>
        <w:spacing w:after="0" w:line="240" w:lineRule="auto"/>
        <w:ind w:left="0" w:firstLine="0"/>
        <w:rPr>
          <w:rFonts w:eastAsia="Times New Roman"/>
          <w:bCs/>
          <w:iCs/>
          <w:color w:val="auto"/>
          <w:szCs w:val="24"/>
          <w:lang w:eastAsia="en-US"/>
        </w:rPr>
      </w:pPr>
    </w:p>
    <w:p w14:paraId="5E055C62" w14:textId="77777777" w:rsidR="009C2249" w:rsidRPr="009C2249" w:rsidRDefault="009C2249" w:rsidP="009C2249">
      <w:pPr>
        <w:tabs>
          <w:tab w:val="center" w:pos="4153"/>
          <w:tab w:val="right" w:pos="8306"/>
        </w:tabs>
        <w:spacing w:after="0" w:line="240" w:lineRule="auto"/>
        <w:ind w:left="0" w:firstLine="0"/>
        <w:rPr>
          <w:rFonts w:eastAsia="Times New Roman"/>
          <w:color w:val="auto"/>
          <w:szCs w:val="24"/>
          <w:lang w:eastAsia="en-US"/>
        </w:rPr>
      </w:pPr>
      <w:r w:rsidRPr="009C2249">
        <w:rPr>
          <w:rFonts w:eastAsia="Times New Roman"/>
          <w:color w:val="auto"/>
          <w:szCs w:val="24"/>
          <w:lang w:eastAsia="en-US"/>
        </w:rPr>
        <w:t xml:space="preserve">None identified. </w:t>
      </w:r>
    </w:p>
    <w:p w14:paraId="0FB541E5" w14:textId="20C9414A" w:rsidR="00B345D6" w:rsidRDefault="00B345D6">
      <w:pPr>
        <w:spacing w:after="0" w:line="259" w:lineRule="auto"/>
        <w:ind w:left="0" w:firstLine="0"/>
      </w:pPr>
    </w:p>
    <w:p w14:paraId="37AD996D" w14:textId="59B2DF91" w:rsidR="00B345D6" w:rsidRDefault="009A12F4">
      <w:pPr>
        <w:pStyle w:val="Heading1"/>
        <w:ind w:left="-5"/>
      </w:pPr>
      <w:r>
        <w:lastRenderedPageBreak/>
        <w:t xml:space="preserve">Why consent was given </w:t>
      </w:r>
    </w:p>
    <w:p w14:paraId="3E379B90" w14:textId="77777777" w:rsidR="009C2249" w:rsidRPr="009C2249" w:rsidRDefault="009C2249" w:rsidP="009C2249"/>
    <w:p w14:paraId="19E3BD05" w14:textId="77777777" w:rsidR="00B345D6" w:rsidRDefault="009A12F4" w:rsidP="009C2249">
      <w:pPr>
        <w:ind w:left="0" w:right="113" w:firstLine="0"/>
      </w:pPr>
      <w:r>
        <w:t xml:space="preserve">There is no divergence between the Welsh Government and the UK Government on the policy for the correction. Therefore, making separate SIs in Wales and England would lead to duplication, and unnecessary complication of the statute book. Consenting to an England and Wales and Northern Ireland wide SI ensures that there is a single legislative framework across those parts of the UK which promotes clarity and accessibility during this period of change. In these exceptional circumstances, the Welsh Government considers it appropriate that the UK Government legislates on our behalf in this instance.  Those directives have been separately, and to some degree differently, transposed into the law of Scotland, and so the Scottish Ministers will be bringing forward a separate amending instrument in respect of the equivalent Scottish regulations.   </w:t>
      </w:r>
    </w:p>
    <w:p w14:paraId="50D73B29" w14:textId="77777777" w:rsidR="00B345D6" w:rsidRDefault="009A12F4">
      <w:pPr>
        <w:spacing w:after="0" w:line="259" w:lineRule="auto"/>
        <w:ind w:left="0" w:firstLine="0"/>
      </w:pPr>
      <w:r>
        <w:rPr>
          <w:b/>
        </w:rPr>
        <w:t xml:space="preserve"> </w:t>
      </w:r>
    </w:p>
    <w:p w14:paraId="6C0585A2" w14:textId="63DA71C6" w:rsidR="00B345D6" w:rsidRDefault="009A12F4" w:rsidP="004B3409">
      <w:pPr>
        <w:ind w:left="0" w:right="113" w:firstLine="0"/>
      </w:pPr>
      <w:r>
        <w:t xml:space="preserve">A Statutory Instrument Consent Memorandum has also been laid in the </w:t>
      </w:r>
      <w:r w:rsidR="009C2249">
        <w:t>Senedd</w:t>
      </w:r>
      <w:r>
        <w:t xml:space="preserve"> in respect of the amendments to </w:t>
      </w:r>
      <w:r w:rsidR="002D09B6">
        <w:t>t</w:t>
      </w:r>
      <w:r>
        <w:t xml:space="preserve">he Equality Act 2010. </w:t>
      </w:r>
    </w:p>
    <w:p w14:paraId="2AE48DB7" w14:textId="77777777" w:rsidR="00B345D6" w:rsidRDefault="009A12F4">
      <w:pPr>
        <w:spacing w:after="3864" w:line="259" w:lineRule="auto"/>
        <w:ind w:left="0" w:firstLine="0"/>
      </w:pPr>
      <w:r>
        <w:t xml:space="preserve"> </w:t>
      </w:r>
    </w:p>
    <w:p w14:paraId="1D1D74AF" w14:textId="29EC0FC5" w:rsidR="00B345D6" w:rsidRDefault="00F058E7">
      <w:pPr>
        <w:tabs>
          <w:tab w:val="center" w:pos="4891"/>
        </w:tabs>
        <w:spacing w:after="0" w:line="259" w:lineRule="auto"/>
        <w:ind w:left="0" w:firstLine="0"/>
      </w:pPr>
      <w:r>
        <w:rPr>
          <w:rFonts w:ascii="Courier New" w:eastAsia="Courier New" w:hAnsi="Courier New" w:cs="Courier New"/>
          <w:sz w:val="22"/>
        </w:rPr>
        <w:lastRenderedPageBreak/>
        <w:t xml:space="preserve"> </w:t>
      </w:r>
      <w:r>
        <w:rPr>
          <w:rFonts w:ascii="Courier New" w:eastAsia="Courier New" w:hAnsi="Courier New" w:cs="Courier New"/>
          <w:sz w:val="22"/>
        </w:rPr>
        <w:tab/>
      </w:r>
    </w:p>
    <w:sectPr w:rsidR="00B345D6">
      <w:footerReference w:type="default" r:id="rId13"/>
      <w:pgSz w:w="11906" w:h="16838"/>
      <w:pgMar w:top="544" w:right="574" w:bottom="508" w:left="14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9234A" w14:textId="77777777" w:rsidR="0091495C" w:rsidRDefault="0091495C" w:rsidP="00F058E7">
      <w:pPr>
        <w:spacing w:after="0" w:line="240" w:lineRule="auto"/>
      </w:pPr>
      <w:r>
        <w:separator/>
      </w:r>
    </w:p>
  </w:endnote>
  <w:endnote w:type="continuationSeparator" w:id="0">
    <w:p w14:paraId="40FF0947" w14:textId="77777777" w:rsidR="0091495C" w:rsidRDefault="0091495C" w:rsidP="00F05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1311018"/>
      <w:docPartObj>
        <w:docPartGallery w:val="Page Numbers (Bottom of Page)"/>
        <w:docPartUnique/>
      </w:docPartObj>
    </w:sdtPr>
    <w:sdtEndPr>
      <w:rPr>
        <w:noProof/>
      </w:rPr>
    </w:sdtEndPr>
    <w:sdtContent>
      <w:p w14:paraId="3AF2347F" w14:textId="490F7CA2" w:rsidR="00F058E7" w:rsidRDefault="00F058E7">
        <w:pPr>
          <w:pStyle w:val="Footer"/>
          <w:jc w:val="center"/>
        </w:pPr>
        <w:r>
          <w:fldChar w:fldCharType="begin"/>
        </w:r>
        <w:r>
          <w:instrText xml:space="preserve"> PAGE   \* MERGEFORMAT </w:instrText>
        </w:r>
        <w:r>
          <w:fldChar w:fldCharType="separate"/>
        </w:r>
        <w:r w:rsidR="001C63C3">
          <w:rPr>
            <w:noProof/>
          </w:rPr>
          <w:t>1</w:t>
        </w:r>
        <w:r>
          <w:rPr>
            <w:noProof/>
          </w:rPr>
          <w:fldChar w:fldCharType="end"/>
        </w:r>
      </w:p>
    </w:sdtContent>
  </w:sdt>
  <w:p w14:paraId="2DFA8FB3" w14:textId="77777777" w:rsidR="00F058E7" w:rsidRDefault="00F058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6B04C" w14:textId="77777777" w:rsidR="0091495C" w:rsidRDefault="0091495C" w:rsidP="00F058E7">
      <w:pPr>
        <w:spacing w:after="0" w:line="240" w:lineRule="auto"/>
      </w:pPr>
      <w:r>
        <w:separator/>
      </w:r>
    </w:p>
  </w:footnote>
  <w:footnote w:type="continuationSeparator" w:id="0">
    <w:p w14:paraId="640705F2" w14:textId="77777777" w:rsidR="0091495C" w:rsidRDefault="0091495C" w:rsidP="00F058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475D"/>
    <w:multiLevelType w:val="hybridMultilevel"/>
    <w:tmpl w:val="04F6A590"/>
    <w:lvl w:ilvl="0" w:tplc="F2622380">
      <w:start w:val="1"/>
      <w:numFmt w:val="bullet"/>
      <w:lvlText w:val="•"/>
      <w:lvlJc w:val="left"/>
      <w:pPr>
        <w:ind w:left="4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D47ECE">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DCB23A">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AA4B02">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66A5BC">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BAE1BB6">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E280D0">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B0546C">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8A1A44">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5D6"/>
    <w:rsid w:val="00013E27"/>
    <w:rsid w:val="00057B18"/>
    <w:rsid w:val="000E45BA"/>
    <w:rsid w:val="001656E7"/>
    <w:rsid w:val="001C63C3"/>
    <w:rsid w:val="002D09B6"/>
    <w:rsid w:val="003E1B55"/>
    <w:rsid w:val="004A25B6"/>
    <w:rsid w:val="004B3409"/>
    <w:rsid w:val="005F3921"/>
    <w:rsid w:val="00606899"/>
    <w:rsid w:val="00606DAA"/>
    <w:rsid w:val="00617C67"/>
    <w:rsid w:val="007F2FA2"/>
    <w:rsid w:val="0091495C"/>
    <w:rsid w:val="009A12F4"/>
    <w:rsid w:val="009C2249"/>
    <w:rsid w:val="00B345D6"/>
    <w:rsid w:val="00BF4615"/>
    <w:rsid w:val="00E84528"/>
    <w:rsid w:val="00F05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7C1FA"/>
  <w15:docId w15:val="{F7F20777-E9E1-4041-890A-D19909FEB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77"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845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528"/>
    <w:rPr>
      <w:rFonts w:ascii="Segoe UI" w:eastAsia="Arial" w:hAnsi="Segoe UI" w:cs="Segoe UI"/>
      <w:color w:val="000000"/>
      <w:sz w:val="18"/>
      <w:szCs w:val="18"/>
    </w:rPr>
  </w:style>
  <w:style w:type="paragraph" w:styleId="ListParagraph">
    <w:name w:val="List Paragraph"/>
    <w:basedOn w:val="Normal"/>
    <w:uiPriority w:val="34"/>
    <w:qFormat/>
    <w:rsid w:val="001656E7"/>
    <w:pPr>
      <w:ind w:left="720"/>
      <w:contextualSpacing/>
    </w:pPr>
  </w:style>
  <w:style w:type="paragraph" w:styleId="Header">
    <w:name w:val="header"/>
    <w:basedOn w:val="Normal"/>
    <w:link w:val="HeaderChar"/>
    <w:uiPriority w:val="99"/>
    <w:unhideWhenUsed/>
    <w:rsid w:val="00F058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8E7"/>
    <w:rPr>
      <w:rFonts w:ascii="Arial" w:eastAsia="Arial" w:hAnsi="Arial" w:cs="Arial"/>
      <w:color w:val="000000"/>
      <w:sz w:val="24"/>
    </w:rPr>
  </w:style>
  <w:style w:type="paragraph" w:styleId="Footer">
    <w:name w:val="footer"/>
    <w:basedOn w:val="Normal"/>
    <w:link w:val="FooterChar"/>
    <w:uiPriority w:val="99"/>
    <w:unhideWhenUsed/>
    <w:rsid w:val="00F058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58E7"/>
    <w:rPr>
      <w:rFonts w:ascii="Arial" w:eastAsia="Arial" w:hAnsi="Arial" w:cs="Arial"/>
      <w:color w:val="000000"/>
      <w:sz w:val="24"/>
    </w:rPr>
  </w:style>
  <w:style w:type="paragraph" w:styleId="NoSpacing">
    <w:name w:val="No Spacing"/>
    <w:uiPriority w:val="1"/>
    <w:qFormat/>
    <w:rsid w:val="009C2249"/>
    <w:pPr>
      <w:spacing w:after="0" w:line="240" w:lineRule="auto"/>
      <w:ind w:left="77" w:hanging="10"/>
    </w:pPr>
    <w:rPr>
      <w:rFonts w:ascii="Arial" w:eastAsia="Arial" w:hAnsi="Arial" w:cs="Arial"/>
      <w:color w:val="000000"/>
      <w:sz w:val="24"/>
    </w:rPr>
  </w:style>
  <w:style w:type="character" w:styleId="CommentReference">
    <w:name w:val="annotation reference"/>
    <w:basedOn w:val="DefaultParagraphFont"/>
    <w:uiPriority w:val="99"/>
    <w:semiHidden/>
    <w:unhideWhenUsed/>
    <w:rsid w:val="004B3409"/>
    <w:rPr>
      <w:sz w:val="16"/>
      <w:szCs w:val="16"/>
    </w:rPr>
  </w:style>
  <w:style w:type="paragraph" w:styleId="CommentText">
    <w:name w:val="annotation text"/>
    <w:basedOn w:val="Normal"/>
    <w:link w:val="CommentTextChar"/>
    <w:uiPriority w:val="99"/>
    <w:semiHidden/>
    <w:unhideWhenUsed/>
    <w:rsid w:val="004B3409"/>
    <w:pPr>
      <w:spacing w:line="240" w:lineRule="auto"/>
    </w:pPr>
    <w:rPr>
      <w:sz w:val="20"/>
      <w:szCs w:val="20"/>
    </w:rPr>
  </w:style>
  <w:style w:type="character" w:customStyle="1" w:styleId="CommentTextChar">
    <w:name w:val="Comment Text Char"/>
    <w:basedOn w:val="DefaultParagraphFont"/>
    <w:link w:val="CommentText"/>
    <w:uiPriority w:val="99"/>
    <w:semiHidden/>
    <w:rsid w:val="004B3409"/>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B3409"/>
    <w:rPr>
      <w:b/>
      <w:bCs/>
    </w:rPr>
  </w:style>
  <w:style w:type="character" w:customStyle="1" w:styleId="CommentSubjectChar">
    <w:name w:val="Comment Subject Char"/>
    <w:basedOn w:val="CommentTextChar"/>
    <w:link w:val="CommentSubject"/>
    <w:uiPriority w:val="99"/>
    <w:semiHidden/>
    <w:rsid w:val="004B3409"/>
    <w:rPr>
      <w:rFonts w:ascii="Arial" w:eastAsia="Arial" w:hAnsi="Arial" w:cs="Arial"/>
      <w:b/>
      <w:bCs/>
      <w:color w:val="000000"/>
      <w:sz w:val="20"/>
      <w:szCs w:val="20"/>
    </w:rPr>
  </w:style>
  <w:style w:type="character" w:styleId="Hyperlink">
    <w:name w:val="Hyperlink"/>
    <w:basedOn w:val="DefaultParagraphFont"/>
    <w:uiPriority w:val="99"/>
    <w:unhideWhenUsed/>
    <w:rsid w:val="00BF46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slation.gov.uk/ukdsi/2020/978034821295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2020-10-11T23:00:00+00:00</Meeting_x0020_Date>
    <Assembly xmlns="a4e7e3ba-90a1-4b0a-844f-73b076486bd6">5</Assembly>
  </documentManagement>
</p:properties>
</file>

<file path=customXml/item3.xml><?xml version="1.0" encoding="utf-8"?>
<metadata xmlns="http://www.objective.com/ecm/document/metadata/FF3C5B18883D4E21973B57C2EEED7FD1" version="1.0.0">
  <systemFields>
    <field name="Objective-Id">
      <value order="0">A31785869</value>
    </field>
    <field name="Objective-Title">
      <value order="0">12 October 2020 - Written Statement - The Public Procurement (amendment etc) (EU Exit) Regulations 2020</value>
    </field>
    <field name="Objective-Description">
      <value order="0"/>
    </field>
    <field name="Objective-CreationStamp">
      <value order="0">2020-10-12T12:05:27Z</value>
    </field>
    <field name="Objective-IsApproved">
      <value order="0">false</value>
    </field>
    <field name="Objective-IsPublished">
      <value order="0">true</value>
    </field>
    <field name="Objective-DatePublished">
      <value order="0">2020-10-12T12:09:41Z</value>
    </field>
    <field name="Objective-ModificationStamp">
      <value order="0">2020-10-12T12:09:41Z</value>
    </field>
    <field name="Objective-Owner">
      <value order="0">Fletcher, Steven (OFM - European Transition)</value>
    </field>
    <field name="Objective-Path">
      <value order="0">Objective Global Folder:Business File Plan:Office of the First Minister (OFM):Office of the First Minister (OFM) - European Transition:1 - Save:European Transition:Legislation:European Transition - Secondary Legislation Catalogues - 2017-2022:Written Statements and SICMs Laid - 1 February - 31 December 2020</value>
    </field>
    <field name="Objective-Parent">
      <value order="0">Written Statements and SICMs Laid - 1 February - 31 December 2020</value>
    </field>
    <field name="Objective-State">
      <value order="0">Published</value>
    </field>
    <field name="Objective-VersionId">
      <value order="0">vA63161676</value>
    </field>
    <field name="Objective-Version">
      <value order="0">1.0</value>
    </field>
    <field name="Objective-VersionNumber">
      <value order="0">2</value>
    </field>
    <field name="Objective-VersionComment">
      <value order="0">Version 2</value>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2020-10-11T23:00:00Z</value>
      </field>
      <field name="Objective-What to Keep">
        <value order="0">No</value>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2BE70A-1055-469E-8ED2-8B375A3B6000}">
  <ds:schemaRefs>
    <ds:schemaRef ds:uri="http://schemas.microsoft.com/sharepoint/v3/contenttype/forms"/>
  </ds:schemaRefs>
</ds:datastoreItem>
</file>

<file path=customXml/itemProps2.xml><?xml version="1.0" encoding="utf-8"?>
<ds:datastoreItem xmlns:ds="http://schemas.openxmlformats.org/officeDocument/2006/customXml" ds:itemID="{BD8778C6-9877-4557-BF72-F0EB905BC217}">
  <ds:schemaRefs>
    <ds:schemaRef ds:uri="http://schemas.openxmlformats.org/package/2006/metadata/core-properties"/>
    <ds:schemaRef ds:uri="ef277e87-290d-49c5-91d0-3912be04ccbd"/>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93868ba0-4f09-432e-b4a8-1e7798b1a206"/>
    <ds:schemaRef ds:uri="http://www.w3.org/XML/1998/namespace"/>
    <ds:schemaRef ds:uri="http://purl.org/dc/dcmitype/"/>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A24AC91A-C04F-429F-8975-E5D13413E908}"/>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4519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Eich cyf</vt:lpstr>
    </vt:vector>
  </TitlesOfParts>
  <Company>Welsh Government</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Public Procurement (Amendment etc.) (EU Exit) Regulations 2020</dc:title>
  <dc:subject/>
  <dc:creator>burnsc</dc:creator>
  <cp:keywords/>
  <cp:lastModifiedBy>Carey, Helen (OFM - Cabinet Division)</cp:lastModifiedBy>
  <cp:revision>2</cp:revision>
  <dcterms:created xsi:type="dcterms:W3CDTF">2020-10-12T12:27:00Z</dcterms:created>
  <dcterms:modified xsi:type="dcterms:W3CDTF">2020-10-12T12:27:00Z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0x010100C32B317B5CB4014E8FDC61FB98CB49750066DDDDA8424970449BEE8C4A4D2809D6</vt:lpwstr>
  </property>
  <property fmtid="{D5CDD505-2E9C-101B-9397-08002B2CF9AE}" pid="3" name="Objective-Id">
    <vt:lpwstr>A31785869</vt:lpwstr>
  </property>
  <property fmtid="{D5CDD505-2E9C-101B-9397-08002B2CF9AE}" pid="4" name="Objective-Title">
    <vt:lpwstr>12 October 2020 - Written Statement - The Public Procurement (amendment etc) (EU Exit) Regulations 2020</vt:lpwstr>
  </property>
  <property fmtid="{D5CDD505-2E9C-101B-9397-08002B2CF9AE}" pid="5" name="Objective-Description">
    <vt:lpwstr/>
  </property>
  <property fmtid="{D5CDD505-2E9C-101B-9397-08002B2CF9AE}" pid="6" name="Objective-CreationStamp">
    <vt:filetime>2020-10-12T12:05:33Z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2020-10-12T12:09:41Z</vt:filetime>
  </property>
  <property fmtid="{D5CDD505-2E9C-101B-9397-08002B2CF9AE}" pid="10" name="Objective-ModificationStamp">
    <vt:filetime>2020-10-12T12:09:41Z</vt:filetime>
  </property>
  <property fmtid="{D5CDD505-2E9C-101B-9397-08002B2CF9AE}" pid="11" name="Objective-Owner">
    <vt:lpwstr>Fletcher, Steven (OFM - European Transition)</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- 2017-2022:Written Stat</vt:lpwstr>
  </property>
  <property fmtid="{D5CDD505-2E9C-101B-9397-08002B2CF9AE}" pid="13" name="Objective-Parent">
    <vt:lpwstr>Written Statements and SICMs Laid - 1 February - 31 December 2020</vt:lpwstr>
  </property>
  <property fmtid="{D5CDD505-2E9C-101B-9397-08002B2CF9AE}" pid="14" name="Objective-State">
    <vt:lpwstr>Published</vt:lpwstr>
  </property>
  <property fmtid="{D5CDD505-2E9C-101B-9397-08002B2CF9AE}" pid="15" name="Objective-VersionId">
    <vt:lpwstr>vA63161676</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 - Sensitive]</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2020-10-11T23:00:00Z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