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AFF" w:rsidRPr="00273BFB" w:rsidRDefault="004066C9" w:rsidP="00062AFF">
      <w:pPr>
        <w:pStyle w:val="MBpaperheading"/>
        <w:rPr>
          <w:sz w:val="28"/>
        </w:rPr>
      </w:pPr>
      <w:r w:rsidRPr="00273BFB">
        <w:rPr>
          <w:sz w:val="28"/>
        </w:rPr>
        <w:t>Internal Audit Plan 2014-15</w:t>
      </w:r>
    </w:p>
    <w:p w:rsidR="00062AFF" w:rsidRPr="00062AFF" w:rsidRDefault="00062AFF" w:rsidP="00062AFF">
      <w:pPr>
        <w:pStyle w:val="MBlistparagraph"/>
        <w:rPr>
          <w:b/>
        </w:rPr>
      </w:pPr>
      <w:r w:rsidRPr="00062AFF">
        <w:rPr>
          <w:b/>
        </w:rPr>
        <w:t>Purpose and summary</w:t>
      </w:r>
    </w:p>
    <w:p w:rsidR="004066C9" w:rsidRDefault="004066C9" w:rsidP="004066C9">
      <w:pPr>
        <w:pStyle w:val="MBlistparagraph"/>
        <w:numPr>
          <w:ilvl w:val="1"/>
          <w:numId w:val="1"/>
        </w:numPr>
      </w:pPr>
      <w:r w:rsidRPr="004066C9">
        <w:t>The</w:t>
      </w:r>
      <w:r w:rsidR="00027D82">
        <w:t xml:space="preserve"> Internal Audit Plan for 2014-15 is attached for consideration and approval by the Assembly Commission Audit and Risk Assurance Committee</w:t>
      </w:r>
      <w:r w:rsidRPr="004066C9">
        <w:t>.</w:t>
      </w:r>
      <w:r w:rsidR="00027D82">
        <w:t xml:space="preserve">  The plan has been prepared in conjunction with TIAA and input from the Chief Executive and other senior managers in the National Assembly for Wales Commission.</w:t>
      </w:r>
    </w:p>
    <w:p w:rsidR="00027D82" w:rsidRDefault="00027D82" w:rsidP="004066C9">
      <w:pPr>
        <w:pStyle w:val="MBlistparagraph"/>
        <w:numPr>
          <w:ilvl w:val="1"/>
          <w:numId w:val="1"/>
        </w:numPr>
      </w:pPr>
      <w:r>
        <w:t>The plan builds on the work undertaken during the last four years since the introduction of the co-sourced internal audit arrangements.  It also takes into account comments by the Audit and Risk Assurance Committee</w:t>
      </w:r>
      <w:r w:rsidR="00345B23">
        <w:t xml:space="preserve"> (the Committee)</w:t>
      </w:r>
      <w:r>
        <w:t xml:space="preserve"> on the Audit Strategy at the February 2014 meeting.</w:t>
      </w:r>
    </w:p>
    <w:p w:rsidR="00062AFF" w:rsidRPr="00062AFF" w:rsidRDefault="004066C9" w:rsidP="00062AFF">
      <w:pPr>
        <w:pStyle w:val="MBlistparagraph"/>
        <w:rPr>
          <w:b/>
        </w:rPr>
      </w:pPr>
      <w:r w:rsidRPr="004066C9">
        <w:rPr>
          <w:b/>
        </w:rPr>
        <w:t>Internal Audit Planning Approach</w:t>
      </w:r>
    </w:p>
    <w:p w:rsidR="00035E6D" w:rsidRDefault="004066C9" w:rsidP="00035E6D">
      <w:pPr>
        <w:pStyle w:val="MBlistparagraph"/>
        <w:numPr>
          <w:ilvl w:val="1"/>
          <w:numId w:val="1"/>
        </w:numPr>
      </w:pPr>
      <w:r w:rsidRPr="004066C9">
        <w:t>The overall objective of Internal Audit is to provide independent assurance on the adequacy and effectiveness of the whole systems of controls, financial management and others</w:t>
      </w:r>
      <w:r w:rsidR="00E72231">
        <w:t>.</w:t>
      </w:r>
      <w:r w:rsidRPr="004066C9">
        <w:t xml:space="preserve"> </w:t>
      </w:r>
      <w:r w:rsidR="00E72231">
        <w:t>These have</w:t>
      </w:r>
      <w:r w:rsidRPr="004066C9">
        <w:t xml:space="preserve"> been established to manage the risks of the organisation</w:t>
      </w:r>
      <w:r w:rsidR="00E72231">
        <w:t>,</w:t>
      </w:r>
      <w:r w:rsidRPr="004066C9">
        <w:t xml:space="preserve"> to enable the achievement of organisational goals and ensure accountability for public funds.</w:t>
      </w:r>
    </w:p>
    <w:p w:rsidR="00035E6D" w:rsidRDefault="004066C9" w:rsidP="00035E6D">
      <w:pPr>
        <w:pStyle w:val="MBlistparagraph"/>
        <w:numPr>
          <w:ilvl w:val="1"/>
          <w:numId w:val="1"/>
        </w:numPr>
      </w:pPr>
      <w:r w:rsidRPr="004066C9">
        <w:t>Within this broad objective, it is the Internal Auditor’s responsibility to review, appraise and report upon:</w:t>
      </w:r>
    </w:p>
    <w:p w:rsidR="004066C9" w:rsidRDefault="004066C9" w:rsidP="00586A8B">
      <w:pPr>
        <w:pStyle w:val="ParagraffRhestr"/>
        <w:numPr>
          <w:ilvl w:val="3"/>
          <w:numId w:val="14"/>
        </w:numPr>
        <w:ind w:left="1134" w:hanging="567"/>
        <w:rPr>
          <w:rFonts w:cs="Arial"/>
        </w:rPr>
      </w:pPr>
      <w:r w:rsidRPr="00E72231">
        <w:rPr>
          <w:rFonts w:cs="Arial"/>
        </w:rPr>
        <w:t>the soundness, adequacy and application of the organisation’s financial and other internal controls;</w:t>
      </w:r>
    </w:p>
    <w:p w:rsidR="00586A8B" w:rsidRPr="00E72231" w:rsidRDefault="00586A8B" w:rsidP="00586A8B">
      <w:pPr>
        <w:pStyle w:val="ParagraffRhestr"/>
        <w:ind w:left="1134"/>
        <w:rPr>
          <w:rFonts w:cs="Arial"/>
        </w:rPr>
      </w:pPr>
    </w:p>
    <w:p w:rsidR="00586A8B" w:rsidRPr="00586A8B" w:rsidRDefault="004066C9" w:rsidP="00586A8B">
      <w:pPr>
        <w:pStyle w:val="ParagraffRhestr"/>
        <w:numPr>
          <w:ilvl w:val="3"/>
          <w:numId w:val="14"/>
        </w:numPr>
        <w:ind w:left="1134" w:hanging="567"/>
        <w:rPr>
          <w:rFonts w:cs="Arial"/>
        </w:rPr>
      </w:pPr>
      <w:r w:rsidRPr="00E72231">
        <w:rPr>
          <w:rFonts w:cs="Arial"/>
        </w:rPr>
        <w:t>the extent of compliance with the organisation’s objectives, policies and procedures;</w:t>
      </w:r>
    </w:p>
    <w:p w:rsidR="00586A8B" w:rsidRPr="00E72231" w:rsidRDefault="00586A8B" w:rsidP="00586A8B">
      <w:pPr>
        <w:pStyle w:val="ParagraffRhestr"/>
        <w:ind w:left="1134"/>
        <w:rPr>
          <w:rFonts w:cs="Arial"/>
        </w:rPr>
      </w:pPr>
    </w:p>
    <w:p w:rsidR="00586A8B" w:rsidRPr="00586A8B" w:rsidRDefault="004066C9" w:rsidP="00586A8B">
      <w:pPr>
        <w:pStyle w:val="ParagraffRhestr"/>
        <w:numPr>
          <w:ilvl w:val="3"/>
          <w:numId w:val="14"/>
        </w:numPr>
        <w:ind w:left="1134" w:hanging="567"/>
        <w:rPr>
          <w:rFonts w:cs="Arial"/>
        </w:rPr>
      </w:pPr>
      <w:r w:rsidRPr="00E72231">
        <w:rPr>
          <w:rFonts w:cs="Arial"/>
        </w:rPr>
        <w:t>the degree to which the organisation’s assets and interests are safeguarded;</w:t>
      </w:r>
    </w:p>
    <w:p w:rsidR="00586A8B" w:rsidRPr="00E72231" w:rsidRDefault="00586A8B" w:rsidP="00586A8B">
      <w:pPr>
        <w:pStyle w:val="ParagraffRhestr"/>
        <w:ind w:left="1134"/>
        <w:rPr>
          <w:rFonts w:cs="Arial"/>
        </w:rPr>
      </w:pPr>
    </w:p>
    <w:p w:rsidR="00586A8B" w:rsidRPr="00586A8B" w:rsidRDefault="004066C9" w:rsidP="00586A8B">
      <w:pPr>
        <w:pStyle w:val="ParagraffRhestr"/>
        <w:numPr>
          <w:ilvl w:val="3"/>
          <w:numId w:val="14"/>
        </w:numPr>
        <w:ind w:left="1134" w:hanging="567"/>
        <w:rPr>
          <w:rFonts w:cs="Arial"/>
        </w:rPr>
      </w:pPr>
      <w:r w:rsidRPr="00E72231">
        <w:rPr>
          <w:rFonts w:cs="Arial"/>
        </w:rPr>
        <w:t>the adequacy of systems in place to ensure that the organisation obtains value for money from its activities;</w:t>
      </w:r>
    </w:p>
    <w:p w:rsidR="00586A8B" w:rsidRPr="00E72231" w:rsidRDefault="00586A8B" w:rsidP="00586A8B">
      <w:pPr>
        <w:pStyle w:val="ParagraffRhestr"/>
        <w:ind w:left="1134"/>
        <w:rPr>
          <w:rFonts w:cs="Arial"/>
        </w:rPr>
      </w:pPr>
    </w:p>
    <w:p w:rsidR="004066C9" w:rsidRPr="00E72231" w:rsidRDefault="004066C9" w:rsidP="00586A8B">
      <w:pPr>
        <w:pStyle w:val="ParagraffRhestr"/>
        <w:numPr>
          <w:ilvl w:val="3"/>
          <w:numId w:val="14"/>
        </w:numPr>
        <w:ind w:left="1134" w:hanging="567"/>
        <w:rPr>
          <w:rFonts w:cs="Arial"/>
        </w:rPr>
      </w:pPr>
      <w:r w:rsidRPr="00E72231">
        <w:rPr>
          <w:rFonts w:cs="Arial"/>
        </w:rPr>
        <w:lastRenderedPageBreak/>
        <w:t xml:space="preserve">the reliability and adequacy of </w:t>
      </w:r>
      <w:r w:rsidR="00345B23">
        <w:rPr>
          <w:rFonts w:cs="Arial"/>
        </w:rPr>
        <w:t>management information; and</w:t>
      </w:r>
    </w:p>
    <w:p w:rsidR="004066C9" w:rsidRDefault="004066C9" w:rsidP="00586A8B">
      <w:pPr>
        <w:pStyle w:val="MBlistparagraph"/>
        <w:numPr>
          <w:ilvl w:val="3"/>
          <w:numId w:val="14"/>
        </w:numPr>
        <w:ind w:left="1134" w:hanging="567"/>
      </w:pPr>
      <w:r w:rsidRPr="004066C9">
        <w:t>the effectiveness of risk management.</w:t>
      </w:r>
    </w:p>
    <w:p w:rsidR="00D72304" w:rsidRDefault="004066C9" w:rsidP="004066C9">
      <w:pPr>
        <w:pStyle w:val="MBlistparagraph"/>
        <w:numPr>
          <w:ilvl w:val="1"/>
          <w:numId w:val="1"/>
        </w:numPr>
      </w:pPr>
      <w:r w:rsidRPr="004066C9">
        <w:t>The Audit Plan has therefore been scoped taking into account the responsibilities highlighted above and in accordance with the revised Strategy approved</w:t>
      </w:r>
      <w:r w:rsidR="00345B23">
        <w:t xml:space="preserve"> by the</w:t>
      </w:r>
      <w:r w:rsidRPr="004066C9">
        <w:t xml:space="preserve"> Committee in February 2014.</w:t>
      </w:r>
      <w:r w:rsidR="00506FC7">
        <w:t xml:space="preserve">  </w:t>
      </w:r>
    </w:p>
    <w:p w:rsidR="004066C9" w:rsidRDefault="00506FC7" w:rsidP="004066C9">
      <w:pPr>
        <w:pStyle w:val="MBlistparagraph"/>
        <w:numPr>
          <w:ilvl w:val="1"/>
          <w:numId w:val="1"/>
        </w:numPr>
      </w:pPr>
      <w:r>
        <w:t>The corporate risks faced by the Assembly</w:t>
      </w:r>
      <w:r w:rsidR="00345B23">
        <w:t xml:space="preserve"> Commission</w:t>
      </w:r>
      <w:r>
        <w:t xml:space="preserve"> have</w:t>
      </w:r>
      <w:r w:rsidR="00D72304">
        <w:t xml:space="preserve"> also</w:t>
      </w:r>
      <w:r>
        <w:t xml:space="preserve"> been considered as highlighted below:</w:t>
      </w:r>
    </w:p>
    <w:p w:rsidR="00CB504D" w:rsidRDefault="00CB504D" w:rsidP="00CB504D">
      <w:pPr>
        <w:pStyle w:val="MBlistparagraph"/>
        <w:numPr>
          <w:ilvl w:val="0"/>
          <w:numId w:val="16"/>
        </w:numPr>
      </w:pPr>
      <w:r>
        <w:t>Business Continuity Planning – report recently completed and follow up of the recommendations and actions is scheduled as part of the 14-15 plan</w:t>
      </w:r>
      <w:r w:rsidR="00506FC7">
        <w:t>;</w:t>
      </w:r>
    </w:p>
    <w:p w:rsidR="00CB504D" w:rsidRDefault="00CB504D" w:rsidP="00CB504D">
      <w:pPr>
        <w:pStyle w:val="MBlistparagraph"/>
        <w:numPr>
          <w:ilvl w:val="0"/>
          <w:numId w:val="16"/>
        </w:numPr>
      </w:pPr>
      <w:r>
        <w:t xml:space="preserve">Corporate Capacity – </w:t>
      </w:r>
      <w:r w:rsidR="00506FC7">
        <w:t>recently completed report on</w:t>
      </w:r>
      <w:r>
        <w:t xml:space="preserve"> corporate improvement agenda and further audit work scheduled in 2014-15 around the Assembly approach to programme and project management which will be ke</w:t>
      </w:r>
      <w:r w:rsidR="00506FC7">
        <w:t>y tools in mitigating this risk;</w:t>
      </w:r>
    </w:p>
    <w:p w:rsidR="00CB504D" w:rsidRDefault="00CB504D" w:rsidP="00CB504D">
      <w:pPr>
        <w:pStyle w:val="MBlistparagraph"/>
        <w:numPr>
          <w:ilvl w:val="0"/>
          <w:numId w:val="16"/>
        </w:numPr>
      </w:pPr>
      <w:r>
        <w:t>Insufficient Assembly funds – this risk is likely to</w:t>
      </w:r>
      <w:r w:rsidR="00345B23">
        <w:t xml:space="preserve"> be downgraded to a Service level</w:t>
      </w:r>
      <w:r>
        <w:t xml:space="preserve"> risk – but on-going audit work on programme and project management as well as work on following up reports on financial delegation and financial management and budgetary control</w:t>
      </w:r>
      <w:r w:rsidR="00506FC7">
        <w:t xml:space="preserve"> will keep a focus on this area;</w:t>
      </w:r>
    </w:p>
    <w:p w:rsidR="00CB504D" w:rsidRDefault="00CB504D" w:rsidP="00CB504D">
      <w:pPr>
        <w:pStyle w:val="MBlistparagraph"/>
        <w:numPr>
          <w:ilvl w:val="0"/>
          <w:numId w:val="16"/>
        </w:numPr>
      </w:pPr>
      <w:r>
        <w:t>ICT Futures – a readiness review report has recently been completed by KPMG – while I remain an observer on the ICT Futures Project Board to keep abr</w:t>
      </w:r>
      <w:r w:rsidR="00506FC7">
        <w:t>east of all of the developments;</w:t>
      </w:r>
    </w:p>
    <w:p w:rsidR="00CB504D" w:rsidRDefault="00CB504D" w:rsidP="00CB504D">
      <w:pPr>
        <w:pStyle w:val="MBlistparagraph"/>
        <w:numPr>
          <w:ilvl w:val="0"/>
          <w:numId w:val="16"/>
        </w:numPr>
      </w:pPr>
      <w:r>
        <w:t>Adverse reaction to Remuneration Board</w:t>
      </w:r>
      <w:r w:rsidR="00345B23">
        <w:t xml:space="preserve"> decisions</w:t>
      </w:r>
      <w:r>
        <w:t xml:space="preserve"> – on-going work in the Assembly Commission to appoint a new Chair.  While not an explicit part of my overall Internal Audit Plan – I am liaising with the Board’s Secretariat in agreeing a scope to undertake an effectiveness review </w:t>
      </w:r>
      <w:r w:rsidR="00506FC7">
        <w:t>of the Board in the near future;</w:t>
      </w:r>
    </w:p>
    <w:p w:rsidR="00CB504D" w:rsidRDefault="00CB504D" w:rsidP="00CB504D">
      <w:pPr>
        <w:pStyle w:val="MBlistparagraph"/>
        <w:numPr>
          <w:ilvl w:val="0"/>
          <w:numId w:val="16"/>
        </w:numPr>
      </w:pPr>
      <w:r>
        <w:t xml:space="preserve">Adverse reaction – official language – Machine Translation now implemented and as part of my wider work on project management I will keep a watching brief.  The Official </w:t>
      </w:r>
      <w:r>
        <w:lastRenderedPageBreak/>
        <w:t xml:space="preserve">Language Scheme is also subject to further scrutiny and I will assess whether this is sufficient going forward or whether internal audit coverage would be beneficial or required – this will be identified through my on-going </w:t>
      </w:r>
      <w:r w:rsidRPr="00CB504D">
        <w:t>assurance mapping</w:t>
      </w:r>
      <w:r w:rsidR="00506FC7">
        <w:t>.</w:t>
      </w:r>
    </w:p>
    <w:p w:rsidR="00CB504D" w:rsidRDefault="00CB504D" w:rsidP="004066C9">
      <w:pPr>
        <w:pStyle w:val="MBlistparagraph"/>
        <w:numPr>
          <w:ilvl w:val="1"/>
          <w:numId w:val="1"/>
        </w:numPr>
      </w:pPr>
      <w:r>
        <w:t>The draft plan was also taken to the Management Board meeting on 17 March 2014.  Th</w:t>
      </w:r>
      <w:r w:rsidR="00845858">
        <w:t>is presented the most senior staff</w:t>
      </w:r>
      <w:r>
        <w:t xml:space="preserve"> within the Assembly Commission with the opportunity to comment on the proposed coverage and verify that the plan is focus</w:t>
      </w:r>
      <w:r w:rsidR="00345B23">
        <w:t>sed on those areas at risk</w:t>
      </w:r>
      <w:r>
        <w:t xml:space="preserve"> or in the most need of audit attention.</w:t>
      </w:r>
    </w:p>
    <w:p w:rsidR="00CB504D" w:rsidRPr="00CB504D" w:rsidRDefault="00506FC7" w:rsidP="00CB504D">
      <w:pPr>
        <w:pStyle w:val="MBlistparagraph"/>
      </w:pPr>
      <w:r>
        <w:rPr>
          <w:b/>
        </w:rPr>
        <w:t>The 2014-15 Plan</w:t>
      </w:r>
    </w:p>
    <w:p w:rsidR="004066C9" w:rsidRPr="004066C9" w:rsidRDefault="004066C9" w:rsidP="004066C9">
      <w:pPr>
        <w:pStyle w:val="MBlistparagraph"/>
        <w:numPr>
          <w:ilvl w:val="1"/>
          <w:numId w:val="1"/>
        </w:numPr>
      </w:pPr>
      <w:r w:rsidRPr="004066C9">
        <w:rPr>
          <w:lang w:val="en"/>
        </w:rPr>
        <w:t xml:space="preserve">The </w:t>
      </w:r>
      <w:r w:rsidRPr="004066C9">
        <w:t xml:space="preserve">scope of the audit work is categorised into </w:t>
      </w:r>
      <w:r w:rsidRPr="004066C9">
        <w:rPr>
          <w:lang w:val="en"/>
        </w:rPr>
        <w:t>different audit approaches and delivery, namely:</w:t>
      </w:r>
    </w:p>
    <w:p w:rsidR="004066C9" w:rsidRPr="004066C9" w:rsidRDefault="004066C9" w:rsidP="004066C9">
      <w:pPr>
        <w:pStyle w:val="MBlistparagraph"/>
        <w:numPr>
          <w:ilvl w:val="0"/>
          <w:numId w:val="7"/>
        </w:numPr>
        <w:tabs>
          <w:tab w:val="clear" w:pos="873"/>
          <w:tab w:val="num" w:pos="993"/>
        </w:tabs>
        <w:ind w:left="993" w:hanging="426"/>
        <w:rPr>
          <w:lang w:val="en"/>
        </w:rPr>
      </w:pPr>
      <w:r w:rsidRPr="004066C9">
        <w:rPr>
          <w:lang w:val="en"/>
        </w:rPr>
        <w:t xml:space="preserve">Strategic, Corporate and Governance covering governance </w:t>
      </w:r>
      <w:r>
        <w:rPr>
          <w:lang w:val="en"/>
        </w:rPr>
        <w:t xml:space="preserve">   </w:t>
      </w:r>
      <w:r w:rsidRPr="004066C9">
        <w:rPr>
          <w:lang w:val="en"/>
        </w:rPr>
        <w:t>frameworks and strategic organisational areas;</w:t>
      </w:r>
    </w:p>
    <w:p w:rsidR="004066C9" w:rsidRPr="004066C9" w:rsidRDefault="004066C9" w:rsidP="004066C9">
      <w:pPr>
        <w:pStyle w:val="MBlistparagraph"/>
        <w:numPr>
          <w:ilvl w:val="0"/>
          <w:numId w:val="7"/>
        </w:numPr>
        <w:tabs>
          <w:tab w:val="clear" w:pos="873"/>
        </w:tabs>
        <w:ind w:left="993" w:hanging="426"/>
        <w:rPr>
          <w:lang w:val="en"/>
        </w:rPr>
      </w:pPr>
      <w:r w:rsidRPr="004066C9">
        <w:rPr>
          <w:lang w:val="en"/>
        </w:rPr>
        <w:t>Operational Areas such as procurement, projects, value for money assessments in business areas</w:t>
      </w:r>
      <w:r w:rsidR="00D81844">
        <w:rPr>
          <w:lang w:val="en"/>
        </w:rPr>
        <w:t>;</w:t>
      </w:r>
    </w:p>
    <w:p w:rsidR="004066C9" w:rsidRPr="004066C9" w:rsidRDefault="004066C9" w:rsidP="004066C9">
      <w:pPr>
        <w:pStyle w:val="MBlistparagraph"/>
        <w:numPr>
          <w:ilvl w:val="0"/>
          <w:numId w:val="7"/>
        </w:numPr>
        <w:tabs>
          <w:tab w:val="clear" w:pos="873"/>
          <w:tab w:val="num" w:pos="993"/>
        </w:tabs>
        <w:ind w:left="993" w:hanging="426"/>
        <w:rPr>
          <w:lang w:val="en"/>
        </w:rPr>
      </w:pPr>
      <w:r w:rsidRPr="004066C9">
        <w:rPr>
          <w:lang w:val="en"/>
        </w:rPr>
        <w:t xml:space="preserve">Infrastructure </w:t>
      </w:r>
      <w:r w:rsidR="00D81844">
        <w:rPr>
          <w:lang w:val="en"/>
        </w:rPr>
        <w:t>that</w:t>
      </w:r>
      <w:r w:rsidRPr="004066C9">
        <w:rPr>
          <w:lang w:val="en"/>
        </w:rPr>
        <w:t xml:space="preserve"> relates to key areas of control</w:t>
      </w:r>
      <w:r w:rsidR="00D81844">
        <w:rPr>
          <w:lang w:val="en"/>
        </w:rPr>
        <w:t>,</w:t>
      </w:r>
      <w:r w:rsidRPr="004066C9">
        <w:rPr>
          <w:lang w:val="en"/>
        </w:rPr>
        <w:t xml:space="preserve"> such as Finance reviews, Human Resource policies and processes and  ICT</w:t>
      </w:r>
      <w:r w:rsidR="00D81844">
        <w:rPr>
          <w:lang w:val="en"/>
        </w:rPr>
        <w:t>;</w:t>
      </w:r>
    </w:p>
    <w:p w:rsidR="004066C9" w:rsidRDefault="004066C9" w:rsidP="004066C9">
      <w:pPr>
        <w:pStyle w:val="MBlistparagraph"/>
        <w:numPr>
          <w:ilvl w:val="0"/>
          <w:numId w:val="7"/>
        </w:numPr>
        <w:tabs>
          <w:tab w:val="clear" w:pos="873"/>
          <w:tab w:val="num" w:pos="993"/>
        </w:tabs>
        <w:ind w:left="993" w:hanging="426"/>
        <w:rPr>
          <w:lang w:val="en"/>
        </w:rPr>
      </w:pPr>
      <w:r w:rsidRPr="004066C9">
        <w:rPr>
          <w:lang w:val="en"/>
        </w:rPr>
        <w:t xml:space="preserve">Special projects </w:t>
      </w:r>
      <w:r w:rsidR="00D81844">
        <w:rPr>
          <w:lang w:val="en"/>
        </w:rPr>
        <w:t>that</w:t>
      </w:r>
      <w:r w:rsidRPr="004066C9">
        <w:rPr>
          <w:lang w:val="en"/>
        </w:rPr>
        <w:t xml:space="preserve"> are highlighted through discussions with senior management and asses</w:t>
      </w:r>
      <w:r w:rsidR="00D81844">
        <w:rPr>
          <w:lang w:val="en"/>
        </w:rPr>
        <w:t>sment of current risk registers; and</w:t>
      </w:r>
    </w:p>
    <w:p w:rsidR="004066C9" w:rsidRPr="004066C9" w:rsidRDefault="00D81844" w:rsidP="004066C9">
      <w:pPr>
        <w:pStyle w:val="MBlistparagraph"/>
        <w:numPr>
          <w:ilvl w:val="0"/>
          <w:numId w:val="7"/>
        </w:numPr>
        <w:tabs>
          <w:tab w:val="clear" w:pos="873"/>
          <w:tab w:val="num" w:pos="993"/>
        </w:tabs>
        <w:ind w:left="993" w:hanging="426"/>
        <w:rPr>
          <w:lang w:val="en"/>
        </w:rPr>
      </w:pPr>
      <w:r>
        <w:rPr>
          <w:lang w:val="en"/>
        </w:rPr>
        <w:t>Ad</w:t>
      </w:r>
      <w:r w:rsidR="00345B23">
        <w:rPr>
          <w:lang w:val="en"/>
        </w:rPr>
        <w:t>visory work;</w:t>
      </w:r>
    </w:p>
    <w:p w:rsidR="004066C9" w:rsidRPr="004066C9" w:rsidRDefault="004066C9" w:rsidP="00586A8B">
      <w:pPr>
        <w:pStyle w:val="MBlistparagraph"/>
        <w:numPr>
          <w:ilvl w:val="0"/>
          <w:numId w:val="15"/>
        </w:numPr>
        <w:ind w:left="1418" w:hanging="425"/>
        <w:rPr>
          <w:lang w:val="en"/>
        </w:rPr>
      </w:pPr>
      <w:r w:rsidRPr="004066C9">
        <w:rPr>
          <w:lang w:val="en"/>
        </w:rPr>
        <w:t xml:space="preserve">Pro-active involvement in Assembly activities and developments to provide advice on design and effectiveness of controls. </w:t>
      </w:r>
    </w:p>
    <w:p w:rsidR="004066C9" w:rsidRDefault="004066C9" w:rsidP="00586A8B">
      <w:pPr>
        <w:pStyle w:val="MBlistparagraph"/>
        <w:numPr>
          <w:ilvl w:val="0"/>
          <w:numId w:val="15"/>
        </w:numPr>
        <w:ind w:left="1418" w:hanging="425"/>
        <w:rPr>
          <w:lang w:val="en"/>
        </w:rPr>
      </w:pPr>
      <w:r w:rsidRPr="004066C9">
        <w:rPr>
          <w:lang w:val="en"/>
        </w:rPr>
        <w:t>Joint work with other parts of the organisation.</w:t>
      </w:r>
    </w:p>
    <w:p w:rsidR="00641CB1" w:rsidRPr="00641CB1" w:rsidRDefault="00641CB1" w:rsidP="00641CB1">
      <w:pPr>
        <w:pStyle w:val="MBlistparagraph"/>
        <w:numPr>
          <w:ilvl w:val="1"/>
          <w:numId w:val="1"/>
        </w:numPr>
        <w:rPr>
          <w:lang w:val="en"/>
        </w:rPr>
      </w:pPr>
      <w:r w:rsidRPr="00641CB1">
        <w:rPr>
          <w:lang w:val="en"/>
        </w:rPr>
        <w:t>The Audit Plan for 2014-15, at Appendix 1, comprises a main programme of new reviews and follow</w:t>
      </w:r>
      <w:r w:rsidR="00D72304">
        <w:rPr>
          <w:lang w:val="en"/>
        </w:rPr>
        <w:t xml:space="preserve"> </w:t>
      </w:r>
      <w:r w:rsidRPr="00641CB1">
        <w:rPr>
          <w:lang w:val="en"/>
        </w:rPr>
        <w:t>up of previous reports.</w:t>
      </w:r>
      <w:r w:rsidRPr="00641CB1">
        <w:t xml:space="preserve"> </w:t>
      </w:r>
    </w:p>
    <w:p w:rsidR="004066C9" w:rsidRPr="00641CB1" w:rsidRDefault="00641CB1" w:rsidP="00641CB1">
      <w:pPr>
        <w:pStyle w:val="MBlistparagraph"/>
        <w:numPr>
          <w:ilvl w:val="1"/>
          <w:numId w:val="1"/>
        </w:numPr>
        <w:rPr>
          <w:lang w:val="en"/>
        </w:rPr>
      </w:pPr>
      <w:r w:rsidRPr="00641CB1">
        <w:t xml:space="preserve">Currently, the plan provides indicative timing where this has been agreed but this may be adjusted once the scoping for each audit </w:t>
      </w:r>
      <w:r w:rsidRPr="00641CB1">
        <w:lastRenderedPageBreak/>
        <w:t>area has been agreed. The Audit Plan has been developed to reflect current priorities and risks but should remain flexible if events dictate.</w:t>
      </w:r>
    </w:p>
    <w:p w:rsidR="002C04B8" w:rsidRDefault="00641CB1" w:rsidP="002C04B8">
      <w:pPr>
        <w:pStyle w:val="MBlistparagraph"/>
        <w:rPr>
          <w:b/>
        </w:rPr>
      </w:pPr>
      <w:r w:rsidRPr="00641CB1">
        <w:rPr>
          <w:b/>
        </w:rPr>
        <w:t>Conclusion and Recommendation</w:t>
      </w:r>
    </w:p>
    <w:p w:rsidR="002C04B8" w:rsidRDefault="00641CB1" w:rsidP="002C04B8">
      <w:pPr>
        <w:pStyle w:val="MBlistparagraph"/>
        <w:numPr>
          <w:ilvl w:val="1"/>
          <w:numId w:val="1"/>
        </w:numPr>
      </w:pPr>
      <w:r w:rsidRPr="00641CB1">
        <w:t xml:space="preserve">The Audit Plan at Appendix 1 has been prepared in line with the Strategy approved </w:t>
      </w:r>
      <w:r w:rsidR="00345B23">
        <w:t xml:space="preserve">by the </w:t>
      </w:r>
      <w:r w:rsidRPr="00641CB1">
        <w:t xml:space="preserve">Committee and with input from the </w:t>
      </w:r>
      <w:r w:rsidR="00506FC7">
        <w:t>Chief Executive</w:t>
      </w:r>
      <w:r w:rsidR="00845858">
        <w:t xml:space="preserve"> and other members of the Management Board</w:t>
      </w:r>
      <w:r w:rsidRPr="00641CB1">
        <w:t xml:space="preserve">. </w:t>
      </w:r>
    </w:p>
    <w:p w:rsidR="004066C9" w:rsidRPr="00277A6D" w:rsidRDefault="00506FC7" w:rsidP="00506FC7">
      <w:pPr>
        <w:pStyle w:val="MBlistparagraph"/>
        <w:numPr>
          <w:ilvl w:val="1"/>
          <w:numId w:val="1"/>
        </w:numPr>
      </w:pPr>
      <w:r>
        <w:t>It is presented</w:t>
      </w:r>
      <w:r w:rsidR="00345B23">
        <w:t xml:space="preserve"> to the</w:t>
      </w:r>
      <w:r>
        <w:t xml:space="preserve"> Committee for consideration and approval.</w:t>
      </w:r>
    </w:p>
    <w:p w:rsidR="00641CB1" w:rsidRDefault="00641CB1" w:rsidP="002C04B8">
      <w:pPr>
        <w:sectPr w:rsidR="00641CB1" w:rsidSect="00641CB1">
          <w:footerReference w:type="default" r:id="rId9"/>
          <w:headerReference w:type="first" r:id="rId10"/>
          <w:footerReference w:type="first" r:id="rId11"/>
          <w:pgSz w:w="11906" w:h="16838"/>
          <w:pgMar w:top="1440" w:right="1440" w:bottom="1440" w:left="2127" w:header="708" w:footer="708" w:gutter="0"/>
          <w:cols w:space="708"/>
          <w:titlePg/>
          <w:docGrid w:linePitch="360"/>
        </w:sectPr>
      </w:pPr>
    </w:p>
    <w:tbl>
      <w:tblPr>
        <w:tblpPr w:leftFromText="181" w:rightFromText="181" w:vertAnchor="page" w:horzAnchor="margin" w:tblpX="-176" w:tblpY="232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1610"/>
        <w:gridCol w:w="4683"/>
        <w:gridCol w:w="2095"/>
        <w:gridCol w:w="1276"/>
        <w:gridCol w:w="992"/>
        <w:gridCol w:w="1559"/>
        <w:gridCol w:w="1559"/>
      </w:tblGrid>
      <w:tr w:rsidR="00641CB1" w:rsidRPr="00641CB1" w:rsidTr="00045354">
        <w:trPr>
          <w:tblHeader/>
        </w:trPr>
        <w:tc>
          <w:tcPr>
            <w:tcW w:w="0" w:type="auto"/>
            <w:shd w:val="clear" w:color="auto" w:fill="F2F2F2"/>
          </w:tcPr>
          <w:p w:rsidR="00641CB1" w:rsidRPr="00641CB1" w:rsidRDefault="00641CB1" w:rsidP="00641CB1">
            <w:pPr>
              <w:spacing w:after="0" w:line="240" w:lineRule="auto"/>
              <w:rPr>
                <w:rFonts w:eastAsia="Times New Roman" w:cs="Times New Roman"/>
                <w:b/>
                <w:sz w:val="20"/>
                <w:szCs w:val="20"/>
                <w:lang w:eastAsia="en-GB"/>
              </w:rPr>
            </w:pPr>
            <w:r w:rsidRPr="00641CB1">
              <w:rPr>
                <w:rFonts w:eastAsia="Times New Roman" w:cs="Times New Roman"/>
                <w:b/>
                <w:sz w:val="20"/>
                <w:szCs w:val="20"/>
                <w:lang w:eastAsia="en-GB"/>
              </w:rPr>
              <w:lastRenderedPageBreak/>
              <w:t>Area</w:t>
            </w:r>
          </w:p>
        </w:tc>
        <w:tc>
          <w:tcPr>
            <w:tcW w:w="0" w:type="auto"/>
            <w:shd w:val="clear" w:color="auto" w:fill="F2F2F2"/>
          </w:tcPr>
          <w:p w:rsidR="00641CB1" w:rsidRPr="00641CB1" w:rsidRDefault="00641CB1" w:rsidP="00641CB1">
            <w:pPr>
              <w:spacing w:after="0" w:line="240" w:lineRule="auto"/>
              <w:rPr>
                <w:rFonts w:eastAsia="Times New Roman" w:cs="Times New Roman"/>
                <w:b/>
                <w:sz w:val="20"/>
                <w:szCs w:val="20"/>
                <w:lang w:eastAsia="en-GB"/>
              </w:rPr>
            </w:pPr>
            <w:r w:rsidRPr="00641CB1">
              <w:rPr>
                <w:rFonts w:eastAsia="Times New Roman" w:cs="Times New Roman"/>
                <w:b/>
                <w:sz w:val="20"/>
                <w:szCs w:val="20"/>
                <w:lang w:eastAsia="en-GB"/>
              </w:rPr>
              <w:t xml:space="preserve">Activity  </w:t>
            </w:r>
          </w:p>
        </w:tc>
        <w:tc>
          <w:tcPr>
            <w:tcW w:w="0" w:type="auto"/>
            <w:shd w:val="clear" w:color="auto" w:fill="F2F2F2"/>
          </w:tcPr>
          <w:p w:rsidR="00641CB1" w:rsidRPr="00641CB1" w:rsidRDefault="00641CB1" w:rsidP="00641CB1">
            <w:pPr>
              <w:spacing w:after="0" w:line="240" w:lineRule="auto"/>
              <w:rPr>
                <w:rFonts w:eastAsia="Times New Roman" w:cs="Times New Roman"/>
                <w:b/>
                <w:sz w:val="20"/>
                <w:szCs w:val="20"/>
                <w:lang w:eastAsia="en-GB"/>
              </w:rPr>
            </w:pPr>
            <w:r w:rsidRPr="00641CB1">
              <w:rPr>
                <w:rFonts w:eastAsia="Times New Roman" w:cs="Times New Roman"/>
                <w:b/>
                <w:sz w:val="20"/>
                <w:szCs w:val="20"/>
                <w:lang w:eastAsia="en-GB"/>
              </w:rPr>
              <w:t xml:space="preserve">Outline audit approach </w:t>
            </w:r>
          </w:p>
        </w:tc>
        <w:tc>
          <w:tcPr>
            <w:tcW w:w="2095" w:type="dxa"/>
            <w:shd w:val="clear" w:color="auto" w:fill="F2F2F2"/>
          </w:tcPr>
          <w:p w:rsidR="00641CB1" w:rsidRPr="00641CB1" w:rsidRDefault="00641CB1" w:rsidP="00641CB1">
            <w:pPr>
              <w:spacing w:after="0" w:line="240" w:lineRule="auto"/>
              <w:rPr>
                <w:rFonts w:eastAsia="Times New Roman" w:cs="Times New Roman"/>
                <w:b/>
                <w:sz w:val="20"/>
                <w:szCs w:val="20"/>
                <w:lang w:eastAsia="en-GB"/>
              </w:rPr>
            </w:pPr>
            <w:r w:rsidRPr="00641CB1">
              <w:rPr>
                <w:rFonts w:eastAsia="Times New Roman" w:cs="Times New Roman"/>
                <w:b/>
                <w:sz w:val="20"/>
                <w:szCs w:val="20"/>
                <w:lang w:eastAsia="en-GB"/>
              </w:rPr>
              <w:t>Timing</w:t>
            </w:r>
          </w:p>
        </w:tc>
        <w:tc>
          <w:tcPr>
            <w:tcW w:w="1276" w:type="dxa"/>
            <w:shd w:val="clear" w:color="auto" w:fill="F2F2F2"/>
          </w:tcPr>
          <w:p w:rsidR="00641CB1" w:rsidRPr="00641CB1" w:rsidRDefault="00641CB1" w:rsidP="00641CB1">
            <w:pPr>
              <w:spacing w:after="0" w:line="240" w:lineRule="auto"/>
              <w:rPr>
                <w:rFonts w:eastAsia="Times New Roman" w:cs="Times New Roman"/>
                <w:b/>
                <w:sz w:val="20"/>
                <w:szCs w:val="20"/>
                <w:lang w:eastAsia="en-GB"/>
              </w:rPr>
            </w:pPr>
            <w:r w:rsidRPr="00641CB1">
              <w:rPr>
                <w:rFonts w:eastAsia="Times New Roman" w:cs="Times New Roman"/>
                <w:b/>
                <w:sz w:val="20"/>
                <w:szCs w:val="20"/>
                <w:lang w:eastAsia="en-GB"/>
              </w:rPr>
              <w:t>Estimated days</w:t>
            </w:r>
          </w:p>
          <w:p w:rsidR="00641CB1" w:rsidRPr="00641CB1" w:rsidRDefault="00641CB1" w:rsidP="00641CB1">
            <w:pPr>
              <w:spacing w:after="0" w:line="240" w:lineRule="auto"/>
              <w:rPr>
                <w:rFonts w:eastAsia="Times New Roman" w:cs="Times New Roman"/>
                <w:b/>
                <w:sz w:val="20"/>
                <w:szCs w:val="20"/>
                <w:lang w:eastAsia="en-GB"/>
              </w:rPr>
            </w:pPr>
            <w:r w:rsidRPr="00641CB1">
              <w:rPr>
                <w:rFonts w:eastAsia="Times New Roman" w:cs="Times New Roman"/>
                <w:b/>
                <w:sz w:val="20"/>
                <w:szCs w:val="20"/>
                <w:lang w:eastAsia="en-GB"/>
              </w:rPr>
              <w:t xml:space="preserve"> </w:t>
            </w:r>
          </w:p>
        </w:tc>
        <w:tc>
          <w:tcPr>
            <w:tcW w:w="992" w:type="dxa"/>
            <w:shd w:val="clear" w:color="auto" w:fill="F2F2F2"/>
          </w:tcPr>
          <w:p w:rsidR="00641CB1" w:rsidRPr="00641CB1" w:rsidRDefault="00641CB1" w:rsidP="00641CB1">
            <w:pPr>
              <w:spacing w:after="0" w:line="240" w:lineRule="auto"/>
              <w:rPr>
                <w:rFonts w:eastAsia="Times New Roman" w:cs="Times New Roman"/>
                <w:b/>
                <w:sz w:val="20"/>
                <w:szCs w:val="20"/>
                <w:lang w:eastAsia="en-GB"/>
              </w:rPr>
            </w:pPr>
            <w:r w:rsidRPr="00641CB1">
              <w:rPr>
                <w:rFonts w:eastAsia="Times New Roman" w:cs="Times New Roman"/>
                <w:b/>
                <w:sz w:val="20"/>
                <w:szCs w:val="20"/>
                <w:lang w:eastAsia="en-GB"/>
              </w:rPr>
              <w:t>Type of audit</w:t>
            </w:r>
          </w:p>
        </w:tc>
        <w:tc>
          <w:tcPr>
            <w:tcW w:w="1559" w:type="dxa"/>
            <w:shd w:val="clear" w:color="auto" w:fill="F2F2F2"/>
          </w:tcPr>
          <w:p w:rsidR="00641CB1" w:rsidRPr="00641CB1" w:rsidRDefault="00641CB1" w:rsidP="00641CB1">
            <w:pPr>
              <w:spacing w:after="0" w:line="240" w:lineRule="auto"/>
              <w:rPr>
                <w:rFonts w:eastAsia="Times New Roman" w:cs="Times New Roman"/>
                <w:b/>
                <w:sz w:val="20"/>
                <w:szCs w:val="20"/>
                <w:lang w:eastAsia="en-GB"/>
              </w:rPr>
            </w:pPr>
            <w:r w:rsidRPr="00641CB1">
              <w:rPr>
                <w:rFonts w:eastAsia="Times New Roman" w:cs="Times New Roman"/>
                <w:b/>
                <w:sz w:val="20"/>
                <w:szCs w:val="20"/>
                <w:lang w:eastAsia="en-GB"/>
              </w:rPr>
              <w:t>In-house/ outsource</w:t>
            </w:r>
          </w:p>
        </w:tc>
        <w:tc>
          <w:tcPr>
            <w:tcW w:w="1559" w:type="dxa"/>
            <w:shd w:val="clear" w:color="auto" w:fill="F2F2F2"/>
          </w:tcPr>
          <w:p w:rsidR="00641CB1" w:rsidRPr="00641CB1" w:rsidRDefault="00641CB1" w:rsidP="00641CB1">
            <w:pPr>
              <w:spacing w:after="0" w:line="240" w:lineRule="auto"/>
              <w:rPr>
                <w:rFonts w:eastAsia="Times New Roman" w:cs="Times New Roman"/>
                <w:b/>
                <w:sz w:val="20"/>
                <w:szCs w:val="20"/>
                <w:lang w:eastAsia="en-GB"/>
              </w:rPr>
            </w:pPr>
            <w:r w:rsidRPr="00641CB1">
              <w:rPr>
                <w:rFonts w:eastAsia="Times New Roman" w:cs="Times New Roman"/>
                <w:b/>
                <w:sz w:val="20"/>
                <w:szCs w:val="20"/>
                <w:lang w:eastAsia="en-GB"/>
              </w:rPr>
              <w:t xml:space="preserve">Target Audit Committee </w:t>
            </w:r>
          </w:p>
        </w:tc>
      </w:tr>
      <w:tr w:rsidR="00641CB1" w:rsidRPr="00641CB1" w:rsidTr="00045354">
        <w:trPr>
          <w:tblHeader/>
        </w:trPr>
        <w:tc>
          <w:tcPr>
            <w:tcW w:w="0" w:type="auto"/>
            <w:vMerge w:val="restart"/>
          </w:tcPr>
          <w:p w:rsidR="00641CB1" w:rsidRPr="00641CB1" w:rsidRDefault="00641CB1" w:rsidP="00641CB1">
            <w:pPr>
              <w:spacing w:after="0" w:line="240" w:lineRule="auto"/>
              <w:rPr>
                <w:rFonts w:eastAsia="Times New Roman" w:cs="Times New Roman"/>
                <w:b/>
                <w:sz w:val="20"/>
                <w:szCs w:val="20"/>
                <w:lang w:eastAsia="en-GB"/>
              </w:rPr>
            </w:pPr>
            <w:r w:rsidRPr="00641CB1">
              <w:rPr>
                <w:rFonts w:eastAsia="Times New Roman" w:cs="Times New Roman"/>
                <w:b/>
                <w:sz w:val="20"/>
                <w:szCs w:val="20"/>
                <w:lang w:eastAsia="en-GB"/>
              </w:rPr>
              <w:t>Strategic, Corporate and Governance</w:t>
            </w:r>
          </w:p>
        </w:tc>
        <w:tc>
          <w:tcPr>
            <w:tcW w:w="0" w:type="auto"/>
          </w:tcPr>
          <w:p w:rsidR="00641CB1" w:rsidRPr="00641CB1" w:rsidRDefault="00641CB1" w:rsidP="00641CB1">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Information Governance</w:t>
            </w:r>
          </w:p>
        </w:tc>
        <w:tc>
          <w:tcPr>
            <w:tcW w:w="0" w:type="auto"/>
          </w:tcPr>
          <w:p w:rsidR="00641CB1" w:rsidRPr="00641CB1" w:rsidRDefault="00641CB1" w:rsidP="00641CB1">
            <w:pPr>
              <w:numPr>
                <w:ilvl w:val="0"/>
                <w:numId w:val="11"/>
              </w:numPr>
              <w:spacing w:after="0" w:line="240" w:lineRule="auto"/>
              <w:ind w:left="54" w:hanging="142"/>
              <w:contextualSpacing/>
              <w:rPr>
                <w:rFonts w:eastAsia="Calibri" w:cs="Times New Roman"/>
                <w:sz w:val="20"/>
                <w:szCs w:val="20"/>
              </w:rPr>
            </w:pPr>
            <w:r w:rsidRPr="00641CB1">
              <w:rPr>
                <w:rFonts w:eastAsia="Calibri" w:cs="Times New Roman"/>
                <w:sz w:val="20"/>
                <w:szCs w:val="20"/>
              </w:rPr>
              <w:t xml:space="preserve">Follows on from the initial audit report in February 2012 and subsequent follow up reports. </w:t>
            </w:r>
          </w:p>
          <w:p w:rsidR="00641CB1" w:rsidRPr="00641CB1" w:rsidRDefault="00641CB1" w:rsidP="00641CB1">
            <w:pPr>
              <w:numPr>
                <w:ilvl w:val="0"/>
                <w:numId w:val="11"/>
              </w:numPr>
              <w:spacing w:after="0" w:line="240" w:lineRule="auto"/>
              <w:ind w:left="54" w:hanging="142"/>
              <w:contextualSpacing/>
              <w:rPr>
                <w:rFonts w:eastAsia="Calibri" w:cs="Times New Roman"/>
                <w:sz w:val="20"/>
                <w:szCs w:val="20"/>
              </w:rPr>
            </w:pPr>
            <w:r w:rsidRPr="00641CB1">
              <w:rPr>
                <w:rFonts w:eastAsia="Calibri" w:cs="Times New Roman"/>
                <w:sz w:val="20"/>
                <w:szCs w:val="20"/>
              </w:rPr>
              <w:t xml:space="preserve">The audit will focus on the embedding of  procedures and controls  introduced to manage existing information asset registers; the awareness and training for Information Asset Owners and staff managing information assets. It will also review processes for setting up new information assets and the completeness of the register. </w:t>
            </w:r>
          </w:p>
        </w:tc>
        <w:tc>
          <w:tcPr>
            <w:tcW w:w="2095" w:type="dxa"/>
          </w:tcPr>
          <w:p w:rsidR="00641CB1" w:rsidRPr="00641CB1" w:rsidRDefault="00641CB1" w:rsidP="00641CB1">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April 2014</w:t>
            </w:r>
          </w:p>
        </w:tc>
        <w:tc>
          <w:tcPr>
            <w:tcW w:w="1276" w:type="dxa"/>
          </w:tcPr>
          <w:p w:rsidR="00641CB1" w:rsidRPr="00641CB1" w:rsidRDefault="00641CB1" w:rsidP="00641CB1">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10</w:t>
            </w:r>
          </w:p>
        </w:tc>
        <w:tc>
          <w:tcPr>
            <w:tcW w:w="992" w:type="dxa"/>
          </w:tcPr>
          <w:p w:rsidR="00641CB1" w:rsidRPr="00641CB1" w:rsidRDefault="00641CB1" w:rsidP="00641CB1">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Full</w:t>
            </w:r>
          </w:p>
        </w:tc>
        <w:tc>
          <w:tcPr>
            <w:tcW w:w="1559" w:type="dxa"/>
          </w:tcPr>
          <w:p w:rsidR="00641CB1" w:rsidRPr="00641CB1" w:rsidRDefault="00641CB1" w:rsidP="00641CB1">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In-house</w:t>
            </w:r>
          </w:p>
        </w:tc>
        <w:tc>
          <w:tcPr>
            <w:tcW w:w="1559" w:type="dxa"/>
          </w:tcPr>
          <w:p w:rsidR="00641CB1" w:rsidRPr="00641CB1" w:rsidRDefault="00641CB1" w:rsidP="00641CB1">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June 2014</w:t>
            </w:r>
          </w:p>
        </w:tc>
      </w:tr>
      <w:tr w:rsidR="00641CB1" w:rsidRPr="00641CB1" w:rsidTr="00045354">
        <w:trPr>
          <w:tblHeader/>
        </w:trPr>
        <w:tc>
          <w:tcPr>
            <w:tcW w:w="0" w:type="auto"/>
            <w:vMerge/>
          </w:tcPr>
          <w:p w:rsidR="00641CB1" w:rsidRPr="00641CB1" w:rsidRDefault="00641CB1" w:rsidP="00641CB1">
            <w:pPr>
              <w:spacing w:after="0" w:line="240" w:lineRule="auto"/>
              <w:rPr>
                <w:rFonts w:eastAsia="Times New Roman" w:cs="Times New Roman"/>
                <w:sz w:val="20"/>
                <w:szCs w:val="20"/>
                <w:lang w:eastAsia="en-GB"/>
              </w:rPr>
            </w:pPr>
          </w:p>
        </w:tc>
        <w:tc>
          <w:tcPr>
            <w:tcW w:w="0" w:type="auto"/>
          </w:tcPr>
          <w:p w:rsidR="00641CB1" w:rsidRPr="00641CB1" w:rsidRDefault="00641CB1" w:rsidP="00641CB1">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Project Management Overview</w:t>
            </w:r>
          </w:p>
        </w:tc>
        <w:tc>
          <w:tcPr>
            <w:tcW w:w="0" w:type="auto"/>
          </w:tcPr>
          <w:p w:rsidR="00641CB1" w:rsidRPr="00641CB1" w:rsidRDefault="00641CB1" w:rsidP="00641CB1">
            <w:pPr>
              <w:spacing w:after="0" w:line="240" w:lineRule="auto"/>
              <w:ind w:left="54"/>
              <w:contextualSpacing/>
              <w:rPr>
                <w:rFonts w:eastAsia="Calibri" w:cs="Times New Roman"/>
                <w:sz w:val="20"/>
                <w:szCs w:val="20"/>
              </w:rPr>
            </w:pPr>
            <w:r w:rsidRPr="00641CB1">
              <w:rPr>
                <w:rFonts w:eastAsia="Calibri" w:cs="Times New Roman"/>
                <w:sz w:val="20"/>
                <w:szCs w:val="20"/>
              </w:rPr>
              <w:t>Audit will look at the processes the Assembly has in place aroun</w:t>
            </w:r>
            <w:r w:rsidR="00345B23">
              <w:rPr>
                <w:rFonts w:eastAsia="Calibri" w:cs="Times New Roman"/>
                <w:sz w:val="20"/>
                <w:szCs w:val="20"/>
              </w:rPr>
              <w:t>d the structure of</w:t>
            </w:r>
            <w:r w:rsidRPr="00641CB1">
              <w:rPr>
                <w:rFonts w:eastAsia="Calibri" w:cs="Times New Roman"/>
                <w:sz w:val="20"/>
                <w:szCs w:val="20"/>
              </w:rPr>
              <w:t xml:space="preserve"> project management and some of the following key issues:</w:t>
            </w:r>
          </w:p>
          <w:p w:rsidR="00641CB1" w:rsidRPr="00641CB1" w:rsidRDefault="00641CB1" w:rsidP="00641CB1">
            <w:pPr>
              <w:numPr>
                <w:ilvl w:val="0"/>
                <w:numId w:val="12"/>
              </w:numPr>
              <w:spacing w:after="0" w:line="240" w:lineRule="auto"/>
              <w:contextualSpacing/>
              <w:rPr>
                <w:rFonts w:eastAsia="Calibri" w:cs="Times New Roman"/>
                <w:sz w:val="20"/>
                <w:szCs w:val="20"/>
              </w:rPr>
            </w:pPr>
            <w:r w:rsidRPr="00641CB1">
              <w:rPr>
                <w:rFonts w:eastAsia="Calibri" w:cs="Times New Roman"/>
                <w:sz w:val="20"/>
                <w:szCs w:val="20"/>
              </w:rPr>
              <w:t>Project Initiation</w:t>
            </w:r>
          </w:p>
          <w:p w:rsidR="00641CB1" w:rsidRPr="00641CB1" w:rsidRDefault="00641CB1" w:rsidP="00641CB1">
            <w:pPr>
              <w:numPr>
                <w:ilvl w:val="0"/>
                <w:numId w:val="12"/>
              </w:numPr>
              <w:spacing w:after="0" w:line="240" w:lineRule="auto"/>
              <w:contextualSpacing/>
              <w:rPr>
                <w:rFonts w:eastAsia="Calibri" w:cs="Times New Roman"/>
                <w:sz w:val="20"/>
                <w:szCs w:val="20"/>
              </w:rPr>
            </w:pPr>
            <w:r w:rsidRPr="00641CB1">
              <w:rPr>
                <w:rFonts w:eastAsia="Calibri" w:cs="Times New Roman"/>
                <w:sz w:val="20"/>
                <w:szCs w:val="20"/>
              </w:rPr>
              <w:t>Project Design</w:t>
            </w:r>
          </w:p>
          <w:p w:rsidR="00641CB1" w:rsidRPr="00641CB1" w:rsidRDefault="00641CB1" w:rsidP="00641CB1">
            <w:pPr>
              <w:numPr>
                <w:ilvl w:val="0"/>
                <w:numId w:val="12"/>
              </w:numPr>
              <w:spacing w:after="0" w:line="240" w:lineRule="auto"/>
              <w:contextualSpacing/>
              <w:rPr>
                <w:rFonts w:eastAsia="Calibri" w:cs="Times New Roman"/>
                <w:sz w:val="20"/>
                <w:szCs w:val="20"/>
              </w:rPr>
            </w:pPr>
            <w:r w:rsidRPr="00641CB1">
              <w:rPr>
                <w:rFonts w:eastAsia="Calibri" w:cs="Times New Roman"/>
                <w:sz w:val="20"/>
                <w:szCs w:val="20"/>
              </w:rPr>
              <w:t>Project Implementation</w:t>
            </w:r>
          </w:p>
          <w:p w:rsidR="00641CB1" w:rsidRPr="00641CB1" w:rsidRDefault="00641CB1" w:rsidP="00641CB1">
            <w:pPr>
              <w:numPr>
                <w:ilvl w:val="0"/>
                <w:numId w:val="12"/>
              </w:numPr>
              <w:spacing w:after="0" w:line="240" w:lineRule="auto"/>
              <w:contextualSpacing/>
              <w:rPr>
                <w:rFonts w:eastAsia="Calibri" w:cs="Times New Roman"/>
                <w:sz w:val="20"/>
                <w:szCs w:val="20"/>
              </w:rPr>
            </w:pPr>
            <w:r w:rsidRPr="00641CB1">
              <w:rPr>
                <w:rFonts w:eastAsia="Calibri" w:cs="Times New Roman"/>
                <w:sz w:val="20"/>
                <w:szCs w:val="20"/>
              </w:rPr>
              <w:t>Project Risk Management</w:t>
            </w:r>
          </w:p>
          <w:p w:rsidR="00641CB1" w:rsidRPr="00641CB1" w:rsidRDefault="00641CB1" w:rsidP="00641CB1">
            <w:pPr>
              <w:numPr>
                <w:ilvl w:val="0"/>
                <w:numId w:val="12"/>
              </w:numPr>
              <w:spacing w:after="0" w:line="240" w:lineRule="auto"/>
              <w:contextualSpacing/>
              <w:rPr>
                <w:rFonts w:eastAsia="Calibri" w:cs="Times New Roman"/>
                <w:sz w:val="20"/>
                <w:szCs w:val="20"/>
              </w:rPr>
            </w:pPr>
            <w:r w:rsidRPr="00641CB1">
              <w:rPr>
                <w:rFonts w:eastAsia="Calibri" w:cs="Times New Roman"/>
                <w:sz w:val="20"/>
                <w:szCs w:val="20"/>
              </w:rPr>
              <w:t>Project Closure</w:t>
            </w:r>
          </w:p>
        </w:tc>
        <w:tc>
          <w:tcPr>
            <w:tcW w:w="2095" w:type="dxa"/>
          </w:tcPr>
          <w:p w:rsidR="00641CB1" w:rsidRPr="00641CB1" w:rsidRDefault="00641CB1" w:rsidP="00641CB1">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Nov 2014</w:t>
            </w:r>
          </w:p>
        </w:tc>
        <w:tc>
          <w:tcPr>
            <w:tcW w:w="1276" w:type="dxa"/>
          </w:tcPr>
          <w:p w:rsidR="00641CB1" w:rsidRPr="00641CB1" w:rsidRDefault="00641CB1" w:rsidP="00641CB1">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8</w:t>
            </w:r>
          </w:p>
        </w:tc>
        <w:tc>
          <w:tcPr>
            <w:tcW w:w="992" w:type="dxa"/>
          </w:tcPr>
          <w:p w:rsidR="00641CB1" w:rsidRPr="00641CB1" w:rsidRDefault="00641CB1" w:rsidP="00641CB1">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Limited</w:t>
            </w:r>
          </w:p>
        </w:tc>
        <w:tc>
          <w:tcPr>
            <w:tcW w:w="1559" w:type="dxa"/>
          </w:tcPr>
          <w:p w:rsidR="00641CB1" w:rsidRPr="00641CB1" w:rsidRDefault="00641CB1" w:rsidP="00641CB1">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In-house</w:t>
            </w:r>
          </w:p>
        </w:tc>
        <w:tc>
          <w:tcPr>
            <w:tcW w:w="1559" w:type="dxa"/>
          </w:tcPr>
          <w:p w:rsidR="00641CB1" w:rsidRPr="00641CB1" w:rsidRDefault="00641CB1" w:rsidP="00641CB1">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Feb 2015</w:t>
            </w:r>
          </w:p>
        </w:tc>
      </w:tr>
      <w:tr w:rsidR="00641CB1" w:rsidRPr="00641CB1" w:rsidTr="00045354">
        <w:trPr>
          <w:tblHeader/>
        </w:trPr>
        <w:tc>
          <w:tcPr>
            <w:tcW w:w="0" w:type="auto"/>
            <w:vMerge/>
          </w:tcPr>
          <w:p w:rsidR="00641CB1" w:rsidRPr="00641CB1" w:rsidRDefault="00641CB1" w:rsidP="00641CB1">
            <w:pPr>
              <w:spacing w:after="0" w:line="240" w:lineRule="auto"/>
              <w:rPr>
                <w:rFonts w:eastAsia="Times New Roman" w:cs="Times New Roman"/>
                <w:sz w:val="20"/>
                <w:szCs w:val="20"/>
                <w:lang w:eastAsia="en-GB"/>
              </w:rPr>
            </w:pPr>
          </w:p>
        </w:tc>
        <w:tc>
          <w:tcPr>
            <w:tcW w:w="0" w:type="auto"/>
          </w:tcPr>
          <w:p w:rsidR="00641CB1" w:rsidRPr="00641CB1" w:rsidRDefault="00641CB1" w:rsidP="00641CB1">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Risk Management Framework</w:t>
            </w:r>
          </w:p>
        </w:tc>
        <w:tc>
          <w:tcPr>
            <w:tcW w:w="0" w:type="auto"/>
          </w:tcPr>
          <w:p w:rsidR="00641CB1" w:rsidRPr="00641CB1" w:rsidRDefault="00641CB1" w:rsidP="00641CB1">
            <w:pPr>
              <w:numPr>
                <w:ilvl w:val="0"/>
                <w:numId w:val="11"/>
              </w:numPr>
              <w:spacing w:after="0" w:line="240" w:lineRule="auto"/>
              <w:ind w:left="54" w:hanging="142"/>
              <w:contextualSpacing/>
              <w:rPr>
                <w:rFonts w:eastAsia="Calibri" w:cs="Times New Roman"/>
                <w:sz w:val="20"/>
                <w:szCs w:val="20"/>
              </w:rPr>
            </w:pPr>
            <w:r w:rsidRPr="00641CB1">
              <w:rPr>
                <w:rFonts w:eastAsia="Calibri" w:cs="Times New Roman"/>
                <w:sz w:val="20"/>
                <w:szCs w:val="20"/>
              </w:rPr>
              <w:t>Follows on from the previous audit and follow up reviews</w:t>
            </w:r>
            <w:r w:rsidR="00345B23">
              <w:rPr>
                <w:rFonts w:eastAsia="Calibri" w:cs="Times New Roman"/>
                <w:sz w:val="20"/>
                <w:szCs w:val="20"/>
              </w:rPr>
              <w:t>.</w:t>
            </w:r>
          </w:p>
          <w:p w:rsidR="00641CB1" w:rsidRPr="00641CB1" w:rsidRDefault="00641CB1" w:rsidP="00641CB1">
            <w:pPr>
              <w:numPr>
                <w:ilvl w:val="0"/>
                <w:numId w:val="11"/>
              </w:numPr>
              <w:spacing w:after="0" w:line="240" w:lineRule="auto"/>
              <w:ind w:left="54" w:hanging="142"/>
              <w:contextualSpacing/>
              <w:rPr>
                <w:rFonts w:eastAsia="Calibri" w:cs="Times New Roman"/>
                <w:sz w:val="20"/>
                <w:szCs w:val="20"/>
              </w:rPr>
            </w:pPr>
            <w:r w:rsidRPr="00641CB1">
              <w:rPr>
                <w:rFonts w:eastAsia="Calibri" w:cs="Times New Roman"/>
                <w:sz w:val="20"/>
                <w:szCs w:val="20"/>
              </w:rPr>
              <w:t>This audit will evaluate the embedding of risk management as well as the adequacy and effectiveness of the Assembly’s arrangements for risk management, and the extent to which controls have been applied, with a view to providing an opinion on the extent to which risks are managed.</w:t>
            </w:r>
          </w:p>
        </w:tc>
        <w:tc>
          <w:tcPr>
            <w:tcW w:w="2095" w:type="dxa"/>
          </w:tcPr>
          <w:p w:rsidR="00641CB1" w:rsidRPr="00641CB1" w:rsidRDefault="00641CB1" w:rsidP="00641CB1">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June 2014</w:t>
            </w:r>
          </w:p>
        </w:tc>
        <w:tc>
          <w:tcPr>
            <w:tcW w:w="1276" w:type="dxa"/>
          </w:tcPr>
          <w:p w:rsidR="00641CB1" w:rsidRPr="00641CB1" w:rsidRDefault="00641CB1" w:rsidP="00641CB1">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8</w:t>
            </w:r>
          </w:p>
        </w:tc>
        <w:tc>
          <w:tcPr>
            <w:tcW w:w="992" w:type="dxa"/>
          </w:tcPr>
          <w:p w:rsidR="00641CB1" w:rsidRPr="00641CB1" w:rsidRDefault="00641CB1" w:rsidP="00641CB1">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Full</w:t>
            </w:r>
          </w:p>
        </w:tc>
        <w:tc>
          <w:tcPr>
            <w:tcW w:w="1559" w:type="dxa"/>
          </w:tcPr>
          <w:p w:rsidR="00641CB1" w:rsidRPr="00641CB1" w:rsidRDefault="00641CB1" w:rsidP="00641CB1">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Outsource</w:t>
            </w:r>
          </w:p>
        </w:tc>
        <w:tc>
          <w:tcPr>
            <w:tcW w:w="1559" w:type="dxa"/>
          </w:tcPr>
          <w:p w:rsidR="00641CB1" w:rsidRPr="00641CB1" w:rsidRDefault="00641CB1" w:rsidP="00641CB1">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Nov 2014</w:t>
            </w:r>
          </w:p>
        </w:tc>
      </w:tr>
      <w:tr w:rsidR="00641CB1" w:rsidRPr="00641CB1" w:rsidTr="00045354">
        <w:trPr>
          <w:trHeight w:val="1462"/>
          <w:tblHeader/>
        </w:trPr>
        <w:tc>
          <w:tcPr>
            <w:tcW w:w="0" w:type="auto"/>
          </w:tcPr>
          <w:p w:rsidR="00641CB1" w:rsidRPr="00641CB1" w:rsidRDefault="00641CB1" w:rsidP="00641CB1">
            <w:pPr>
              <w:spacing w:after="0" w:line="240" w:lineRule="auto"/>
              <w:rPr>
                <w:rFonts w:eastAsia="Times New Roman" w:cs="Times New Roman"/>
                <w:sz w:val="20"/>
                <w:szCs w:val="20"/>
                <w:lang w:eastAsia="en-GB"/>
              </w:rPr>
            </w:pPr>
          </w:p>
        </w:tc>
        <w:tc>
          <w:tcPr>
            <w:tcW w:w="0" w:type="auto"/>
          </w:tcPr>
          <w:p w:rsidR="00641CB1" w:rsidRPr="00641CB1" w:rsidRDefault="00641CB1" w:rsidP="00641CB1">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Equality Scheme</w:t>
            </w:r>
          </w:p>
        </w:tc>
        <w:tc>
          <w:tcPr>
            <w:tcW w:w="0" w:type="auto"/>
          </w:tcPr>
          <w:p w:rsidR="00641CB1" w:rsidRPr="00641CB1" w:rsidRDefault="00641CB1" w:rsidP="00641CB1">
            <w:pPr>
              <w:numPr>
                <w:ilvl w:val="0"/>
                <w:numId w:val="11"/>
              </w:numPr>
              <w:spacing w:after="0" w:line="240" w:lineRule="auto"/>
              <w:ind w:left="54" w:hanging="142"/>
              <w:contextualSpacing/>
              <w:rPr>
                <w:rFonts w:eastAsia="Calibri" w:cs="Times New Roman"/>
                <w:sz w:val="20"/>
                <w:szCs w:val="20"/>
              </w:rPr>
            </w:pPr>
            <w:r w:rsidRPr="00641CB1">
              <w:rPr>
                <w:rFonts w:eastAsia="Calibri" w:cs="Times New Roman"/>
                <w:sz w:val="20"/>
                <w:szCs w:val="20"/>
              </w:rPr>
              <w:t>The objective of this audit is to give management reasonable assurance of the adequacy of controls in operation and in particular that:</w:t>
            </w:r>
          </w:p>
          <w:p w:rsidR="00641CB1" w:rsidRPr="00641CB1" w:rsidRDefault="00641CB1" w:rsidP="00641CB1">
            <w:pPr>
              <w:numPr>
                <w:ilvl w:val="0"/>
                <w:numId w:val="11"/>
              </w:numPr>
              <w:spacing w:after="0" w:line="240" w:lineRule="auto"/>
              <w:ind w:left="54" w:hanging="142"/>
              <w:contextualSpacing/>
              <w:rPr>
                <w:rFonts w:eastAsia="Calibri" w:cs="Times New Roman"/>
                <w:sz w:val="20"/>
                <w:szCs w:val="20"/>
              </w:rPr>
            </w:pPr>
            <w:r w:rsidRPr="00641CB1">
              <w:rPr>
                <w:rFonts w:eastAsia="Calibri" w:cs="Times New Roman"/>
                <w:sz w:val="20"/>
                <w:szCs w:val="20"/>
              </w:rPr>
              <w:t>A plan has been produced to address the requirements of the general and specific duties within the Equality Act 2010.</w:t>
            </w:r>
          </w:p>
        </w:tc>
        <w:tc>
          <w:tcPr>
            <w:tcW w:w="2095" w:type="dxa"/>
          </w:tcPr>
          <w:p w:rsidR="00641CB1" w:rsidRPr="00641CB1" w:rsidRDefault="00641CB1" w:rsidP="00641CB1">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May/June 2014</w:t>
            </w:r>
          </w:p>
        </w:tc>
        <w:tc>
          <w:tcPr>
            <w:tcW w:w="1276" w:type="dxa"/>
          </w:tcPr>
          <w:p w:rsidR="00641CB1" w:rsidRPr="00641CB1" w:rsidRDefault="00641CB1" w:rsidP="00641CB1">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4</w:t>
            </w:r>
          </w:p>
        </w:tc>
        <w:tc>
          <w:tcPr>
            <w:tcW w:w="992" w:type="dxa"/>
          </w:tcPr>
          <w:p w:rsidR="00641CB1" w:rsidRPr="00641CB1" w:rsidRDefault="00641CB1" w:rsidP="00641CB1">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Full</w:t>
            </w:r>
          </w:p>
        </w:tc>
        <w:tc>
          <w:tcPr>
            <w:tcW w:w="1559" w:type="dxa"/>
          </w:tcPr>
          <w:p w:rsidR="00641CB1" w:rsidRPr="00641CB1" w:rsidRDefault="00641CB1" w:rsidP="00641CB1">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In-house</w:t>
            </w:r>
          </w:p>
        </w:tc>
        <w:tc>
          <w:tcPr>
            <w:tcW w:w="1559" w:type="dxa"/>
          </w:tcPr>
          <w:p w:rsidR="00641CB1" w:rsidRPr="00641CB1" w:rsidRDefault="00641CB1" w:rsidP="00641CB1">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June 2014 /Nov 2014</w:t>
            </w:r>
          </w:p>
        </w:tc>
      </w:tr>
    </w:tbl>
    <w:p w:rsidR="00641CB1" w:rsidRPr="00641CB1" w:rsidRDefault="00641CB1" w:rsidP="00641CB1">
      <w:pPr>
        <w:spacing w:after="0" w:line="240" w:lineRule="auto"/>
        <w:rPr>
          <w:rFonts w:ascii="Times New Roman" w:eastAsia="Times New Roman" w:hAnsi="Times New Roman" w:cs="Times New Roman"/>
          <w:szCs w:val="24"/>
          <w:lang w:eastAsia="en-GB"/>
        </w:rPr>
      </w:pPr>
    </w:p>
    <w:tbl>
      <w:tblPr>
        <w:tblpPr w:leftFromText="181" w:rightFromText="181" w:vertAnchor="page" w:horzAnchor="margin" w:tblpX="-176" w:tblpY="414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4"/>
        <w:gridCol w:w="5245"/>
        <w:gridCol w:w="1276"/>
        <w:gridCol w:w="1276"/>
        <w:gridCol w:w="992"/>
        <w:gridCol w:w="1593"/>
        <w:gridCol w:w="1525"/>
      </w:tblGrid>
      <w:tr w:rsidR="00641CB1" w:rsidRPr="00641CB1" w:rsidTr="00045354">
        <w:trPr>
          <w:tblHeader/>
        </w:trPr>
        <w:tc>
          <w:tcPr>
            <w:tcW w:w="1526" w:type="dxa"/>
            <w:shd w:val="clear" w:color="auto" w:fill="F2F2F2"/>
          </w:tcPr>
          <w:p w:rsidR="00641CB1" w:rsidRPr="00641CB1" w:rsidRDefault="00641CB1" w:rsidP="00840E6E">
            <w:pPr>
              <w:spacing w:after="0" w:line="240" w:lineRule="auto"/>
              <w:rPr>
                <w:rFonts w:eastAsia="Times New Roman" w:cs="Times New Roman"/>
                <w:b/>
                <w:sz w:val="20"/>
                <w:szCs w:val="20"/>
                <w:lang w:eastAsia="en-GB"/>
              </w:rPr>
            </w:pPr>
            <w:r w:rsidRPr="00641CB1">
              <w:rPr>
                <w:rFonts w:eastAsia="Times New Roman" w:cs="Times New Roman"/>
                <w:b/>
                <w:sz w:val="20"/>
                <w:szCs w:val="20"/>
                <w:lang w:eastAsia="en-GB"/>
              </w:rPr>
              <w:t>Area</w:t>
            </w:r>
          </w:p>
        </w:tc>
        <w:tc>
          <w:tcPr>
            <w:tcW w:w="1984" w:type="dxa"/>
            <w:shd w:val="clear" w:color="auto" w:fill="F2F2F2"/>
          </w:tcPr>
          <w:p w:rsidR="00641CB1" w:rsidRPr="00641CB1" w:rsidRDefault="00641CB1" w:rsidP="00840E6E">
            <w:pPr>
              <w:spacing w:after="0" w:line="240" w:lineRule="auto"/>
              <w:rPr>
                <w:rFonts w:eastAsia="Times New Roman" w:cs="Times New Roman"/>
                <w:b/>
                <w:sz w:val="20"/>
                <w:szCs w:val="20"/>
                <w:lang w:eastAsia="en-GB"/>
              </w:rPr>
            </w:pPr>
            <w:r w:rsidRPr="00641CB1">
              <w:rPr>
                <w:rFonts w:eastAsia="Times New Roman" w:cs="Times New Roman"/>
                <w:b/>
                <w:sz w:val="20"/>
                <w:szCs w:val="20"/>
                <w:lang w:eastAsia="en-GB"/>
              </w:rPr>
              <w:t xml:space="preserve">Activity  </w:t>
            </w:r>
          </w:p>
        </w:tc>
        <w:tc>
          <w:tcPr>
            <w:tcW w:w="5245" w:type="dxa"/>
            <w:shd w:val="clear" w:color="auto" w:fill="F2F2F2"/>
          </w:tcPr>
          <w:p w:rsidR="00641CB1" w:rsidRPr="00641CB1" w:rsidRDefault="00641CB1" w:rsidP="00840E6E">
            <w:pPr>
              <w:spacing w:after="0" w:line="240" w:lineRule="auto"/>
              <w:rPr>
                <w:rFonts w:eastAsia="Times New Roman" w:cs="Times New Roman"/>
                <w:b/>
                <w:sz w:val="20"/>
                <w:szCs w:val="20"/>
                <w:lang w:eastAsia="en-GB"/>
              </w:rPr>
            </w:pPr>
            <w:r w:rsidRPr="00641CB1">
              <w:rPr>
                <w:rFonts w:eastAsia="Times New Roman" w:cs="Times New Roman"/>
                <w:b/>
                <w:sz w:val="20"/>
                <w:szCs w:val="20"/>
                <w:lang w:eastAsia="en-GB"/>
              </w:rPr>
              <w:t xml:space="preserve">Outline audit approach </w:t>
            </w:r>
          </w:p>
        </w:tc>
        <w:tc>
          <w:tcPr>
            <w:tcW w:w="1276" w:type="dxa"/>
            <w:shd w:val="clear" w:color="auto" w:fill="F2F2F2"/>
          </w:tcPr>
          <w:p w:rsidR="00641CB1" w:rsidRPr="00641CB1" w:rsidRDefault="00641CB1" w:rsidP="00840E6E">
            <w:pPr>
              <w:spacing w:after="0" w:line="240" w:lineRule="auto"/>
              <w:rPr>
                <w:rFonts w:eastAsia="Times New Roman" w:cs="Times New Roman"/>
                <w:b/>
                <w:sz w:val="20"/>
                <w:szCs w:val="20"/>
                <w:lang w:eastAsia="en-GB"/>
              </w:rPr>
            </w:pPr>
            <w:r w:rsidRPr="00641CB1">
              <w:rPr>
                <w:rFonts w:eastAsia="Times New Roman" w:cs="Times New Roman"/>
                <w:b/>
                <w:sz w:val="20"/>
                <w:szCs w:val="20"/>
                <w:lang w:eastAsia="en-GB"/>
              </w:rPr>
              <w:t>Timing</w:t>
            </w:r>
          </w:p>
        </w:tc>
        <w:tc>
          <w:tcPr>
            <w:tcW w:w="1276" w:type="dxa"/>
            <w:shd w:val="clear" w:color="auto" w:fill="F2F2F2"/>
          </w:tcPr>
          <w:p w:rsidR="00641CB1" w:rsidRPr="00641CB1" w:rsidRDefault="00641CB1" w:rsidP="00840E6E">
            <w:pPr>
              <w:spacing w:after="0" w:line="240" w:lineRule="auto"/>
              <w:rPr>
                <w:rFonts w:eastAsia="Times New Roman" w:cs="Times New Roman"/>
                <w:b/>
                <w:sz w:val="20"/>
                <w:szCs w:val="20"/>
                <w:lang w:eastAsia="en-GB"/>
              </w:rPr>
            </w:pPr>
            <w:r w:rsidRPr="00641CB1">
              <w:rPr>
                <w:rFonts w:eastAsia="Times New Roman" w:cs="Times New Roman"/>
                <w:b/>
                <w:sz w:val="20"/>
                <w:szCs w:val="20"/>
                <w:lang w:eastAsia="en-GB"/>
              </w:rPr>
              <w:t>Estimated days</w:t>
            </w:r>
          </w:p>
          <w:p w:rsidR="00641CB1" w:rsidRPr="00641CB1" w:rsidRDefault="00641CB1" w:rsidP="00840E6E">
            <w:pPr>
              <w:spacing w:after="0" w:line="240" w:lineRule="auto"/>
              <w:rPr>
                <w:rFonts w:eastAsia="Times New Roman" w:cs="Times New Roman"/>
                <w:b/>
                <w:sz w:val="20"/>
                <w:szCs w:val="20"/>
                <w:lang w:eastAsia="en-GB"/>
              </w:rPr>
            </w:pPr>
            <w:r w:rsidRPr="00641CB1">
              <w:rPr>
                <w:rFonts w:eastAsia="Times New Roman" w:cs="Times New Roman"/>
                <w:b/>
                <w:sz w:val="20"/>
                <w:szCs w:val="20"/>
                <w:lang w:eastAsia="en-GB"/>
              </w:rPr>
              <w:t xml:space="preserve"> </w:t>
            </w:r>
          </w:p>
        </w:tc>
        <w:tc>
          <w:tcPr>
            <w:tcW w:w="992" w:type="dxa"/>
            <w:shd w:val="clear" w:color="auto" w:fill="F2F2F2"/>
          </w:tcPr>
          <w:p w:rsidR="00641CB1" w:rsidRPr="00641CB1" w:rsidRDefault="00641CB1" w:rsidP="00840E6E">
            <w:pPr>
              <w:spacing w:after="0" w:line="240" w:lineRule="auto"/>
              <w:rPr>
                <w:rFonts w:eastAsia="Times New Roman" w:cs="Times New Roman"/>
                <w:b/>
                <w:sz w:val="20"/>
                <w:szCs w:val="20"/>
                <w:lang w:eastAsia="en-GB"/>
              </w:rPr>
            </w:pPr>
            <w:r w:rsidRPr="00641CB1">
              <w:rPr>
                <w:rFonts w:eastAsia="Times New Roman" w:cs="Times New Roman"/>
                <w:b/>
                <w:sz w:val="20"/>
                <w:szCs w:val="20"/>
                <w:lang w:eastAsia="en-GB"/>
              </w:rPr>
              <w:t>Type of audit</w:t>
            </w:r>
          </w:p>
        </w:tc>
        <w:tc>
          <w:tcPr>
            <w:tcW w:w="1593" w:type="dxa"/>
            <w:shd w:val="clear" w:color="auto" w:fill="F2F2F2"/>
          </w:tcPr>
          <w:p w:rsidR="00641CB1" w:rsidRPr="00641CB1" w:rsidRDefault="00641CB1" w:rsidP="00840E6E">
            <w:pPr>
              <w:spacing w:after="0" w:line="240" w:lineRule="auto"/>
              <w:rPr>
                <w:rFonts w:eastAsia="Times New Roman" w:cs="Times New Roman"/>
                <w:b/>
                <w:sz w:val="20"/>
                <w:szCs w:val="20"/>
                <w:lang w:eastAsia="en-GB"/>
              </w:rPr>
            </w:pPr>
            <w:r w:rsidRPr="00641CB1">
              <w:rPr>
                <w:rFonts w:eastAsia="Times New Roman" w:cs="Times New Roman"/>
                <w:b/>
                <w:sz w:val="20"/>
                <w:szCs w:val="20"/>
                <w:lang w:eastAsia="en-GB"/>
              </w:rPr>
              <w:t>In-house/ outsource</w:t>
            </w:r>
          </w:p>
        </w:tc>
        <w:tc>
          <w:tcPr>
            <w:tcW w:w="1525" w:type="dxa"/>
            <w:shd w:val="clear" w:color="auto" w:fill="F2F2F2"/>
          </w:tcPr>
          <w:p w:rsidR="00641CB1" w:rsidRPr="00641CB1" w:rsidRDefault="00641CB1" w:rsidP="00840E6E">
            <w:pPr>
              <w:spacing w:after="0" w:line="240" w:lineRule="auto"/>
              <w:rPr>
                <w:rFonts w:eastAsia="Times New Roman" w:cs="Times New Roman"/>
                <w:b/>
                <w:sz w:val="20"/>
                <w:szCs w:val="20"/>
                <w:lang w:eastAsia="en-GB"/>
              </w:rPr>
            </w:pPr>
            <w:r w:rsidRPr="00641CB1">
              <w:rPr>
                <w:rFonts w:eastAsia="Times New Roman" w:cs="Times New Roman"/>
                <w:b/>
                <w:sz w:val="20"/>
                <w:szCs w:val="20"/>
                <w:lang w:eastAsia="en-GB"/>
              </w:rPr>
              <w:t xml:space="preserve">Target Audit Committee </w:t>
            </w:r>
          </w:p>
        </w:tc>
      </w:tr>
      <w:tr w:rsidR="00641CB1" w:rsidRPr="00641CB1" w:rsidTr="00045354">
        <w:trPr>
          <w:tblHeader/>
        </w:trPr>
        <w:tc>
          <w:tcPr>
            <w:tcW w:w="1526" w:type="dxa"/>
          </w:tcPr>
          <w:p w:rsidR="00641CB1" w:rsidRPr="00641CB1" w:rsidRDefault="00641CB1" w:rsidP="00840E6E">
            <w:pPr>
              <w:spacing w:after="0" w:line="240" w:lineRule="auto"/>
              <w:rPr>
                <w:rFonts w:eastAsia="Times New Roman" w:cs="Times New Roman"/>
                <w:b/>
                <w:sz w:val="20"/>
                <w:szCs w:val="20"/>
                <w:lang w:eastAsia="en-GB"/>
              </w:rPr>
            </w:pPr>
            <w:r w:rsidRPr="00641CB1">
              <w:rPr>
                <w:rFonts w:eastAsia="Times New Roman" w:cs="Times New Roman"/>
                <w:b/>
                <w:sz w:val="20"/>
                <w:szCs w:val="20"/>
                <w:lang w:eastAsia="en-GB"/>
              </w:rPr>
              <w:t>Operational areas</w:t>
            </w:r>
          </w:p>
        </w:tc>
        <w:tc>
          <w:tcPr>
            <w:tcW w:w="1984" w:type="dxa"/>
          </w:tcPr>
          <w:p w:rsidR="00641CB1" w:rsidRPr="00641CB1" w:rsidRDefault="00641CB1" w:rsidP="00840E6E">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Data Analytics</w:t>
            </w:r>
          </w:p>
        </w:tc>
        <w:tc>
          <w:tcPr>
            <w:tcW w:w="5245" w:type="dxa"/>
          </w:tcPr>
          <w:p w:rsidR="00641CB1" w:rsidRPr="00641CB1" w:rsidRDefault="00641CB1" w:rsidP="00840E6E">
            <w:pPr>
              <w:numPr>
                <w:ilvl w:val="0"/>
                <w:numId w:val="11"/>
              </w:numPr>
              <w:spacing w:after="0" w:line="240" w:lineRule="auto"/>
              <w:ind w:left="54" w:hanging="142"/>
              <w:contextualSpacing/>
              <w:rPr>
                <w:rFonts w:eastAsia="Calibri" w:cs="Times New Roman"/>
                <w:sz w:val="20"/>
                <w:szCs w:val="20"/>
              </w:rPr>
            </w:pPr>
            <w:r w:rsidRPr="00641CB1">
              <w:rPr>
                <w:rFonts w:eastAsia="Calibri" w:cs="Times New Roman"/>
                <w:sz w:val="20"/>
                <w:szCs w:val="20"/>
              </w:rPr>
              <w:t>Data analytic exercise to be completed on purchases and payroll.  This is an efficient method of completing internal audit testing.</w:t>
            </w:r>
          </w:p>
          <w:p w:rsidR="00641CB1" w:rsidRPr="00641CB1" w:rsidRDefault="00641CB1" w:rsidP="00840E6E">
            <w:pPr>
              <w:numPr>
                <w:ilvl w:val="0"/>
                <w:numId w:val="11"/>
              </w:numPr>
              <w:spacing w:after="0" w:line="240" w:lineRule="auto"/>
              <w:ind w:left="54" w:hanging="142"/>
              <w:contextualSpacing/>
              <w:rPr>
                <w:rFonts w:eastAsia="Calibri" w:cs="Times New Roman"/>
                <w:sz w:val="20"/>
                <w:szCs w:val="20"/>
              </w:rPr>
            </w:pPr>
            <w:r w:rsidRPr="00641CB1">
              <w:rPr>
                <w:rFonts w:eastAsia="Calibri" w:cs="Times New Roman"/>
                <w:sz w:val="20"/>
                <w:szCs w:val="20"/>
              </w:rPr>
              <w:t>The purchase ledger and payroll  testing will cover the period 1April 2014 to 31 January 2015</w:t>
            </w:r>
          </w:p>
        </w:tc>
        <w:tc>
          <w:tcPr>
            <w:tcW w:w="1276" w:type="dxa"/>
          </w:tcPr>
          <w:p w:rsidR="00641CB1" w:rsidRPr="00641CB1" w:rsidRDefault="00641CB1" w:rsidP="00840E6E">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February 2015</w:t>
            </w:r>
          </w:p>
        </w:tc>
        <w:tc>
          <w:tcPr>
            <w:tcW w:w="1276" w:type="dxa"/>
          </w:tcPr>
          <w:p w:rsidR="00641CB1" w:rsidRPr="00641CB1" w:rsidRDefault="00641CB1" w:rsidP="00840E6E">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8</w:t>
            </w:r>
          </w:p>
        </w:tc>
        <w:tc>
          <w:tcPr>
            <w:tcW w:w="992" w:type="dxa"/>
          </w:tcPr>
          <w:p w:rsidR="00641CB1" w:rsidRPr="00641CB1" w:rsidRDefault="00641CB1" w:rsidP="00840E6E">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Full</w:t>
            </w:r>
          </w:p>
        </w:tc>
        <w:tc>
          <w:tcPr>
            <w:tcW w:w="1593" w:type="dxa"/>
          </w:tcPr>
          <w:p w:rsidR="00641CB1" w:rsidRPr="00641CB1" w:rsidRDefault="00641CB1" w:rsidP="00840E6E">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Outsource</w:t>
            </w:r>
          </w:p>
        </w:tc>
        <w:tc>
          <w:tcPr>
            <w:tcW w:w="1525" w:type="dxa"/>
          </w:tcPr>
          <w:p w:rsidR="00641CB1" w:rsidRPr="00641CB1" w:rsidRDefault="00641CB1" w:rsidP="00840E6E">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April 2015</w:t>
            </w:r>
          </w:p>
        </w:tc>
      </w:tr>
      <w:tr w:rsidR="00641CB1" w:rsidRPr="00641CB1" w:rsidTr="00045354">
        <w:trPr>
          <w:tblHeader/>
        </w:trPr>
        <w:tc>
          <w:tcPr>
            <w:tcW w:w="1526" w:type="dxa"/>
          </w:tcPr>
          <w:p w:rsidR="00641CB1" w:rsidRPr="00641CB1" w:rsidRDefault="00641CB1" w:rsidP="00840E6E">
            <w:pPr>
              <w:spacing w:after="0" w:line="240" w:lineRule="auto"/>
              <w:rPr>
                <w:rFonts w:eastAsia="Times New Roman" w:cs="Times New Roman"/>
                <w:b/>
                <w:sz w:val="20"/>
                <w:szCs w:val="20"/>
                <w:lang w:eastAsia="en-GB"/>
              </w:rPr>
            </w:pPr>
          </w:p>
        </w:tc>
        <w:tc>
          <w:tcPr>
            <w:tcW w:w="1984" w:type="dxa"/>
          </w:tcPr>
          <w:p w:rsidR="00641CB1" w:rsidRPr="00641CB1" w:rsidRDefault="00641CB1" w:rsidP="00840E6E">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Payroll</w:t>
            </w:r>
          </w:p>
        </w:tc>
        <w:tc>
          <w:tcPr>
            <w:tcW w:w="5245" w:type="dxa"/>
          </w:tcPr>
          <w:p w:rsidR="008021F4" w:rsidRDefault="00641CB1" w:rsidP="008021F4">
            <w:pPr>
              <w:numPr>
                <w:ilvl w:val="0"/>
                <w:numId w:val="11"/>
              </w:numPr>
              <w:spacing w:after="0" w:line="240" w:lineRule="auto"/>
              <w:ind w:left="54" w:hanging="142"/>
              <w:contextualSpacing/>
              <w:rPr>
                <w:rFonts w:eastAsia="Calibri" w:cs="Times New Roman"/>
                <w:sz w:val="20"/>
                <w:szCs w:val="20"/>
              </w:rPr>
            </w:pPr>
            <w:r w:rsidRPr="00345B23">
              <w:rPr>
                <w:rFonts w:eastAsia="Calibri" w:cs="Times New Roman"/>
                <w:sz w:val="20"/>
                <w:szCs w:val="20"/>
              </w:rPr>
              <w:t xml:space="preserve">The audit will assess the adequacy and the effectiveness of systems of internal controls </w:t>
            </w:r>
          </w:p>
          <w:p w:rsidR="00641CB1" w:rsidRPr="00345B23" w:rsidRDefault="008021F4" w:rsidP="008021F4">
            <w:pPr>
              <w:numPr>
                <w:ilvl w:val="0"/>
                <w:numId w:val="11"/>
              </w:numPr>
              <w:spacing w:after="0" w:line="240" w:lineRule="auto"/>
              <w:ind w:left="54" w:hanging="142"/>
              <w:contextualSpacing/>
              <w:rPr>
                <w:rFonts w:eastAsia="Calibri" w:cs="Times New Roman"/>
                <w:sz w:val="20"/>
                <w:szCs w:val="20"/>
              </w:rPr>
            </w:pPr>
            <w:r>
              <w:rPr>
                <w:rFonts w:eastAsia="Calibri" w:cs="Times New Roman"/>
                <w:sz w:val="20"/>
                <w:szCs w:val="20"/>
              </w:rPr>
              <w:t>Assessing their design and whether the controls</w:t>
            </w:r>
            <w:r w:rsidR="00641CB1" w:rsidRPr="00345B23">
              <w:rPr>
                <w:rFonts w:eastAsia="Calibri" w:cs="Times New Roman"/>
                <w:sz w:val="20"/>
                <w:szCs w:val="20"/>
              </w:rPr>
              <w:t xml:space="preserve"> manage and mitigate financial and non-financial risks related to the new payroll system.</w:t>
            </w:r>
          </w:p>
        </w:tc>
        <w:tc>
          <w:tcPr>
            <w:tcW w:w="1276" w:type="dxa"/>
          </w:tcPr>
          <w:p w:rsidR="00641CB1" w:rsidRPr="00641CB1" w:rsidRDefault="00641CB1" w:rsidP="00840E6E">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November 2014</w:t>
            </w:r>
          </w:p>
        </w:tc>
        <w:tc>
          <w:tcPr>
            <w:tcW w:w="1276" w:type="dxa"/>
          </w:tcPr>
          <w:p w:rsidR="00641CB1" w:rsidRPr="00641CB1" w:rsidRDefault="00641CB1" w:rsidP="00840E6E">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8</w:t>
            </w:r>
          </w:p>
        </w:tc>
        <w:tc>
          <w:tcPr>
            <w:tcW w:w="992" w:type="dxa"/>
          </w:tcPr>
          <w:p w:rsidR="00641CB1" w:rsidRPr="00641CB1" w:rsidRDefault="00641CB1" w:rsidP="00840E6E">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Limited</w:t>
            </w:r>
          </w:p>
        </w:tc>
        <w:tc>
          <w:tcPr>
            <w:tcW w:w="1593" w:type="dxa"/>
          </w:tcPr>
          <w:p w:rsidR="00641CB1" w:rsidRPr="00641CB1" w:rsidRDefault="00641CB1" w:rsidP="00840E6E">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Outsource</w:t>
            </w:r>
          </w:p>
        </w:tc>
        <w:tc>
          <w:tcPr>
            <w:tcW w:w="1525" w:type="dxa"/>
          </w:tcPr>
          <w:p w:rsidR="00641CB1" w:rsidRPr="00641CB1" w:rsidRDefault="00641CB1" w:rsidP="00840E6E">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Feb 2015</w:t>
            </w:r>
          </w:p>
        </w:tc>
      </w:tr>
      <w:tr w:rsidR="00641CB1" w:rsidRPr="00641CB1" w:rsidTr="00045354">
        <w:trPr>
          <w:tblHeader/>
        </w:trPr>
        <w:tc>
          <w:tcPr>
            <w:tcW w:w="1526" w:type="dxa"/>
          </w:tcPr>
          <w:p w:rsidR="00641CB1" w:rsidRPr="00641CB1" w:rsidRDefault="00641CB1" w:rsidP="00840E6E">
            <w:pPr>
              <w:spacing w:after="0" w:line="240" w:lineRule="auto"/>
              <w:rPr>
                <w:rFonts w:eastAsia="Times New Roman" w:cs="Times New Roman"/>
                <w:b/>
                <w:sz w:val="20"/>
                <w:szCs w:val="20"/>
                <w:lang w:eastAsia="en-GB"/>
              </w:rPr>
            </w:pPr>
          </w:p>
        </w:tc>
        <w:tc>
          <w:tcPr>
            <w:tcW w:w="1984" w:type="dxa"/>
          </w:tcPr>
          <w:p w:rsidR="00641CB1" w:rsidRPr="00641CB1" w:rsidRDefault="00641CB1" w:rsidP="00840E6E">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Fixed Asset Management</w:t>
            </w:r>
          </w:p>
        </w:tc>
        <w:tc>
          <w:tcPr>
            <w:tcW w:w="5245" w:type="dxa"/>
          </w:tcPr>
          <w:p w:rsidR="008021F4" w:rsidRDefault="00641CB1" w:rsidP="008021F4">
            <w:pPr>
              <w:numPr>
                <w:ilvl w:val="0"/>
                <w:numId w:val="11"/>
              </w:numPr>
              <w:spacing w:after="0" w:line="240" w:lineRule="auto"/>
              <w:ind w:left="54" w:hanging="142"/>
              <w:contextualSpacing/>
              <w:rPr>
                <w:rFonts w:eastAsia="Calibri" w:cs="Times New Roman"/>
                <w:sz w:val="20"/>
                <w:szCs w:val="20"/>
              </w:rPr>
            </w:pPr>
            <w:r w:rsidRPr="00641CB1">
              <w:rPr>
                <w:rFonts w:eastAsia="Calibri" w:cs="Times New Roman"/>
                <w:sz w:val="20"/>
                <w:szCs w:val="20"/>
              </w:rPr>
              <w:t>The purpose of the audit is to gain assurance that there are robust arrangements in place</w:t>
            </w:r>
            <w:r w:rsidR="008021F4">
              <w:rPr>
                <w:rFonts w:eastAsia="Calibri" w:cs="Times New Roman"/>
                <w:sz w:val="20"/>
                <w:szCs w:val="20"/>
              </w:rPr>
              <w:t>.</w:t>
            </w:r>
          </w:p>
          <w:p w:rsidR="00641CB1" w:rsidRPr="00641CB1" w:rsidRDefault="008021F4" w:rsidP="008021F4">
            <w:pPr>
              <w:numPr>
                <w:ilvl w:val="0"/>
                <w:numId w:val="11"/>
              </w:numPr>
              <w:spacing w:after="0" w:line="240" w:lineRule="auto"/>
              <w:ind w:left="54" w:hanging="142"/>
              <w:contextualSpacing/>
              <w:rPr>
                <w:rFonts w:eastAsia="Calibri" w:cs="Times New Roman"/>
                <w:sz w:val="20"/>
                <w:szCs w:val="20"/>
              </w:rPr>
            </w:pPr>
            <w:r>
              <w:rPr>
                <w:rFonts w:eastAsia="Calibri" w:cs="Times New Roman"/>
                <w:sz w:val="20"/>
                <w:szCs w:val="20"/>
              </w:rPr>
              <w:t xml:space="preserve"> To</w:t>
            </w:r>
            <w:r w:rsidR="00641CB1" w:rsidRPr="00641CB1">
              <w:rPr>
                <w:rFonts w:eastAsia="Calibri" w:cs="Times New Roman"/>
                <w:sz w:val="20"/>
                <w:szCs w:val="20"/>
              </w:rPr>
              <w:t xml:space="preserve"> ensure the controlled, accurate and effective management of fixed assets within the Assembly.</w:t>
            </w:r>
          </w:p>
        </w:tc>
        <w:tc>
          <w:tcPr>
            <w:tcW w:w="1276" w:type="dxa"/>
          </w:tcPr>
          <w:p w:rsidR="00641CB1" w:rsidRPr="00641CB1" w:rsidRDefault="00641CB1" w:rsidP="00840E6E">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September 2014</w:t>
            </w:r>
          </w:p>
        </w:tc>
        <w:tc>
          <w:tcPr>
            <w:tcW w:w="1276" w:type="dxa"/>
          </w:tcPr>
          <w:p w:rsidR="00641CB1" w:rsidRPr="00641CB1" w:rsidRDefault="00641CB1" w:rsidP="00840E6E">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6</w:t>
            </w:r>
          </w:p>
        </w:tc>
        <w:tc>
          <w:tcPr>
            <w:tcW w:w="992" w:type="dxa"/>
          </w:tcPr>
          <w:p w:rsidR="00641CB1" w:rsidRPr="00641CB1" w:rsidRDefault="00641CB1" w:rsidP="00840E6E">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Limited</w:t>
            </w:r>
          </w:p>
        </w:tc>
        <w:tc>
          <w:tcPr>
            <w:tcW w:w="1593" w:type="dxa"/>
          </w:tcPr>
          <w:p w:rsidR="00641CB1" w:rsidRPr="00641CB1" w:rsidRDefault="00641CB1" w:rsidP="00840E6E">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Outsource</w:t>
            </w:r>
          </w:p>
        </w:tc>
        <w:tc>
          <w:tcPr>
            <w:tcW w:w="1525" w:type="dxa"/>
          </w:tcPr>
          <w:p w:rsidR="00641CB1" w:rsidRPr="00641CB1" w:rsidRDefault="00641CB1" w:rsidP="00840E6E">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Nov 2014</w:t>
            </w:r>
          </w:p>
        </w:tc>
      </w:tr>
      <w:tr w:rsidR="00641CB1" w:rsidRPr="00641CB1" w:rsidTr="00045354">
        <w:trPr>
          <w:tblHeader/>
        </w:trPr>
        <w:tc>
          <w:tcPr>
            <w:tcW w:w="1526" w:type="dxa"/>
          </w:tcPr>
          <w:p w:rsidR="00641CB1" w:rsidRPr="00641CB1" w:rsidRDefault="00641CB1" w:rsidP="00840E6E">
            <w:pPr>
              <w:spacing w:after="0" w:line="240" w:lineRule="auto"/>
              <w:rPr>
                <w:rFonts w:eastAsia="Times New Roman" w:cs="Times New Roman"/>
                <w:b/>
                <w:sz w:val="20"/>
                <w:szCs w:val="20"/>
                <w:lang w:eastAsia="en-GB"/>
              </w:rPr>
            </w:pPr>
          </w:p>
        </w:tc>
        <w:tc>
          <w:tcPr>
            <w:tcW w:w="1984" w:type="dxa"/>
          </w:tcPr>
          <w:p w:rsidR="00641CB1" w:rsidRPr="00641CB1" w:rsidRDefault="00641CB1" w:rsidP="00840E6E">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Review of Value for Money Programme</w:t>
            </w:r>
          </w:p>
        </w:tc>
        <w:tc>
          <w:tcPr>
            <w:tcW w:w="5245" w:type="dxa"/>
          </w:tcPr>
          <w:p w:rsidR="008021F4" w:rsidRDefault="00641CB1" w:rsidP="008021F4">
            <w:pPr>
              <w:numPr>
                <w:ilvl w:val="0"/>
                <w:numId w:val="11"/>
              </w:numPr>
              <w:spacing w:after="0" w:line="240" w:lineRule="auto"/>
              <w:ind w:left="54" w:hanging="142"/>
              <w:contextualSpacing/>
              <w:rPr>
                <w:rFonts w:eastAsia="Calibri" w:cs="Times New Roman"/>
                <w:sz w:val="20"/>
                <w:szCs w:val="20"/>
              </w:rPr>
            </w:pPr>
            <w:r w:rsidRPr="00641CB1">
              <w:rPr>
                <w:rFonts w:eastAsia="Calibri" w:cs="Times New Roman"/>
                <w:sz w:val="20"/>
                <w:szCs w:val="20"/>
              </w:rPr>
              <w:t>The audit will assess the effectiveness and progress made with the Assemb</w:t>
            </w:r>
            <w:r w:rsidR="008021F4">
              <w:rPr>
                <w:rFonts w:eastAsia="Calibri" w:cs="Times New Roman"/>
                <w:sz w:val="20"/>
                <w:szCs w:val="20"/>
              </w:rPr>
              <w:t>ly’s Value For Money Programme.</w:t>
            </w:r>
          </w:p>
          <w:p w:rsidR="00641CB1" w:rsidRPr="00641CB1" w:rsidRDefault="008021F4" w:rsidP="008021F4">
            <w:pPr>
              <w:numPr>
                <w:ilvl w:val="0"/>
                <w:numId w:val="11"/>
              </w:numPr>
              <w:spacing w:after="0" w:line="240" w:lineRule="auto"/>
              <w:ind w:left="54" w:hanging="142"/>
              <w:contextualSpacing/>
              <w:rPr>
                <w:rFonts w:eastAsia="Calibri" w:cs="Times New Roman"/>
                <w:sz w:val="20"/>
                <w:szCs w:val="20"/>
              </w:rPr>
            </w:pPr>
            <w:r>
              <w:rPr>
                <w:rFonts w:eastAsia="Calibri" w:cs="Times New Roman"/>
                <w:sz w:val="20"/>
                <w:szCs w:val="20"/>
              </w:rPr>
              <w:t>A</w:t>
            </w:r>
            <w:r w:rsidR="00641CB1" w:rsidRPr="00641CB1">
              <w:rPr>
                <w:rFonts w:eastAsia="Calibri" w:cs="Times New Roman"/>
                <w:sz w:val="20"/>
                <w:szCs w:val="20"/>
              </w:rPr>
              <w:t>ssessing whether it is delivering results and to gain assurance that it is being effectively managed and monitored.</w:t>
            </w:r>
          </w:p>
        </w:tc>
        <w:tc>
          <w:tcPr>
            <w:tcW w:w="1276" w:type="dxa"/>
          </w:tcPr>
          <w:p w:rsidR="00641CB1" w:rsidRPr="00641CB1" w:rsidRDefault="00641CB1" w:rsidP="00840E6E">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January 2015</w:t>
            </w:r>
          </w:p>
        </w:tc>
        <w:tc>
          <w:tcPr>
            <w:tcW w:w="1276" w:type="dxa"/>
          </w:tcPr>
          <w:p w:rsidR="00641CB1" w:rsidRPr="00641CB1" w:rsidRDefault="00641CB1" w:rsidP="00840E6E">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6</w:t>
            </w:r>
          </w:p>
        </w:tc>
        <w:tc>
          <w:tcPr>
            <w:tcW w:w="992" w:type="dxa"/>
          </w:tcPr>
          <w:p w:rsidR="00641CB1" w:rsidRPr="00641CB1" w:rsidRDefault="00641CB1" w:rsidP="00840E6E">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Limited</w:t>
            </w:r>
          </w:p>
        </w:tc>
        <w:tc>
          <w:tcPr>
            <w:tcW w:w="1593" w:type="dxa"/>
          </w:tcPr>
          <w:p w:rsidR="00641CB1" w:rsidRPr="00641CB1" w:rsidRDefault="00641CB1" w:rsidP="00840E6E">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In-house</w:t>
            </w:r>
          </w:p>
        </w:tc>
        <w:tc>
          <w:tcPr>
            <w:tcW w:w="1525" w:type="dxa"/>
          </w:tcPr>
          <w:p w:rsidR="00641CB1" w:rsidRPr="00641CB1" w:rsidRDefault="00641CB1" w:rsidP="00840E6E">
            <w:pPr>
              <w:spacing w:after="0" w:line="240" w:lineRule="auto"/>
              <w:rPr>
                <w:rFonts w:eastAsia="Times New Roman" w:cs="Times New Roman"/>
                <w:sz w:val="20"/>
                <w:szCs w:val="20"/>
                <w:lang w:eastAsia="en-GB"/>
              </w:rPr>
            </w:pPr>
            <w:r w:rsidRPr="00641CB1">
              <w:rPr>
                <w:rFonts w:eastAsia="Times New Roman" w:cs="Times New Roman"/>
                <w:sz w:val="20"/>
                <w:szCs w:val="20"/>
                <w:lang w:eastAsia="en-GB"/>
              </w:rPr>
              <w:t>Feb/April 2015</w:t>
            </w:r>
          </w:p>
        </w:tc>
      </w:tr>
    </w:tbl>
    <w:p w:rsidR="0004627C" w:rsidRDefault="0004627C"/>
    <w:tbl>
      <w:tblPr>
        <w:tblpPr w:leftFromText="181" w:rightFromText="181" w:vertAnchor="page" w:horzAnchor="margin" w:tblpY="2326"/>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5245"/>
        <w:gridCol w:w="1276"/>
        <w:gridCol w:w="1276"/>
        <w:gridCol w:w="992"/>
        <w:gridCol w:w="1276"/>
        <w:gridCol w:w="1417"/>
      </w:tblGrid>
      <w:tr w:rsidR="0004627C" w:rsidRPr="00E366AB" w:rsidTr="004044E4">
        <w:trPr>
          <w:trHeight w:val="836"/>
          <w:tblHeader/>
        </w:trPr>
        <w:tc>
          <w:tcPr>
            <w:tcW w:w="1668" w:type="dxa"/>
            <w:shd w:val="clear" w:color="auto" w:fill="F2F2F2"/>
          </w:tcPr>
          <w:p w:rsidR="0004627C" w:rsidRPr="00E366AB" w:rsidRDefault="0004627C" w:rsidP="004044E4">
            <w:pPr>
              <w:spacing w:after="0" w:line="240" w:lineRule="auto"/>
              <w:rPr>
                <w:b/>
                <w:sz w:val="20"/>
                <w:szCs w:val="20"/>
              </w:rPr>
            </w:pPr>
            <w:r w:rsidRPr="00E366AB">
              <w:rPr>
                <w:b/>
                <w:sz w:val="20"/>
                <w:szCs w:val="20"/>
              </w:rPr>
              <w:lastRenderedPageBreak/>
              <w:t>Area</w:t>
            </w:r>
          </w:p>
        </w:tc>
        <w:tc>
          <w:tcPr>
            <w:tcW w:w="1842" w:type="dxa"/>
            <w:shd w:val="clear" w:color="auto" w:fill="F2F2F2"/>
          </w:tcPr>
          <w:p w:rsidR="0004627C" w:rsidRPr="00E366AB" w:rsidRDefault="0004627C" w:rsidP="004044E4">
            <w:pPr>
              <w:spacing w:after="0" w:line="240" w:lineRule="auto"/>
              <w:rPr>
                <w:b/>
                <w:sz w:val="20"/>
                <w:szCs w:val="20"/>
              </w:rPr>
            </w:pPr>
            <w:r w:rsidRPr="00E366AB">
              <w:rPr>
                <w:b/>
                <w:sz w:val="20"/>
                <w:szCs w:val="20"/>
              </w:rPr>
              <w:t xml:space="preserve">Activity  </w:t>
            </w:r>
          </w:p>
        </w:tc>
        <w:tc>
          <w:tcPr>
            <w:tcW w:w="5245" w:type="dxa"/>
            <w:shd w:val="clear" w:color="auto" w:fill="F2F2F2"/>
          </w:tcPr>
          <w:p w:rsidR="0004627C" w:rsidRPr="00E366AB" w:rsidRDefault="0004627C" w:rsidP="004044E4">
            <w:pPr>
              <w:spacing w:after="0" w:line="240" w:lineRule="auto"/>
              <w:rPr>
                <w:b/>
                <w:sz w:val="20"/>
                <w:szCs w:val="20"/>
              </w:rPr>
            </w:pPr>
            <w:r w:rsidRPr="00E366AB">
              <w:rPr>
                <w:b/>
                <w:sz w:val="20"/>
                <w:szCs w:val="20"/>
              </w:rPr>
              <w:t xml:space="preserve">Outline audit approach </w:t>
            </w:r>
          </w:p>
        </w:tc>
        <w:tc>
          <w:tcPr>
            <w:tcW w:w="1276" w:type="dxa"/>
            <w:shd w:val="clear" w:color="auto" w:fill="F2F2F2"/>
          </w:tcPr>
          <w:p w:rsidR="0004627C" w:rsidRPr="00E366AB" w:rsidRDefault="0004627C" w:rsidP="004044E4">
            <w:pPr>
              <w:spacing w:after="0" w:line="240" w:lineRule="auto"/>
              <w:rPr>
                <w:b/>
                <w:sz w:val="20"/>
                <w:szCs w:val="20"/>
              </w:rPr>
            </w:pPr>
            <w:r w:rsidRPr="00E366AB">
              <w:rPr>
                <w:b/>
                <w:sz w:val="20"/>
                <w:szCs w:val="20"/>
              </w:rPr>
              <w:t>Timing</w:t>
            </w:r>
          </w:p>
        </w:tc>
        <w:tc>
          <w:tcPr>
            <w:tcW w:w="1276" w:type="dxa"/>
            <w:shd w:val="clear" w:color="auto" w:fill="F2F2F2"/>
          </w:tcPr>
          <w:p w:rsidR="0004627C" w:rsidRPr="00E366AB" w:rsidRDefault="0004627C" w:rsidP="004044E4">
            <w:pPr>
              <w:spacing w:after="0" w:line="240" w:lineRule="auto"/>
              <w:rPr>
                <w:b/>
                <w:sz w:val="20"/>
                <w:szCs w:val="20"/>
              </w:rPr>
            </w:pPr>
            <w:r w:rsidRPr="00E366AB">
              <w:rPr>
                <w:b/>
                <w:sz w:val="20"/>
                <w:szCs w:val="20"/>
              </w:rPr>
              <w:t>Estim</w:t>
            </w:r>
            <w:r>
              <w:rPr>
                <w:b/>
                <w:sz w:val="20"/>
                <w:szCs w:val="20"/>
              </w:rPr>
              <w:t>ated days</w:t>
            </w:r>
          </w:p>
        </w:tc>
        <w:tc>
          <w:tcPr>
            <w:tcW w:w="992" w:type="dxa"/>
            <w:shd w:val="clear" w:color="auto" w:fill="F2F2F2"/>
          </w:tcPr>
          <w:p w:rsidR="0004627C" w:rsidRPr="00E366AB" w:rsidRDefault="0004627C" w:rsidP="004044E4">
            <w:pPr>
              <w:spacing w:after="0" w:line="240" w:lineRule="auto"/>
              <w:rPr>
                <w:b/>
                <w:sz w:val="20"/>
                <w:szCs w:val="20"/>
              </w:rPr>
            </w:pPr>
            <w:r w:rsidRPr="00E366AB">
              <w:rPr>
                <w:b/>
                <w:sz w:val="20"/>
                <w:szCs w:val="20"/>
              </w:rPr>
              <w:t>Type of audit</w:t>
            </w:r>
          </w:p>
        </w:tc>
        <w:tc>
          <w:tcPr>
            <w:tcW w:w="1276" w:type="dxa"/>
            <w:shd w:val="clear" w:color="auto" w:fill="F2F2F2"/>
          </w:tcPr>
          <w:p w:rsidR="0004627C" w:rsidRPr="00E366AB" w:rsidRDefault="0004627C" w:rsidP="004044E4">
            <w:pPr>
              <w:spacing w:after="0" w:line="240" w:lineRule="auto"/>
              <w:rPr>
                <w:b/>
                <w:sz w:val="20"/>
                <w:szCs w:val="20"/>
              </w:rPr>
            </w:pPr>
            <w:r w:rsidRPr="00E366AB">
              <w:rPr>
                <w:b/>
                <w:sz w:val="20"/>
                <w:szCs w:val="20"/>
              </w:rPr>
              <w:t>In-house/ outsource</w:t>
            </w:r>
          </w:p>
        </w:tc>
        <w:tc>
          <w:tcPr>
            <w:tcW w:w="1417" w:type="dxa"/>
            <w:shd w:val="clear" w:color="auto" w:fill="F2F2F2"/>
          </w:tcPr>
          <w:p w:rsidR="0004627C" w:rsidRPr="00E366AB" w:rsidRDefault="0004627C" w:rsidP="004044E4">
            <w:pPr>
              <w:spacing w:after="0" w:line="240" w:lineRule="auto"/>
              <w:rPr>
                <w:b/>
                <w:sz w:val="20"/>
                <w:szCs w:val="20"/>
              </w:rPr>
            </w:pPr>
            <w:r w:rsidRPr="00E366AB">
              <w:rPr>
                <w:b/>
                <w:sz w:val="20"/>
                <w:szCs w:val="20"/>
              </w:rPr>
              <w:t xml:space="preserve">Target Audit Committee </w:t>
            </w:r>
          </w:p>
        </w:tc>
      </w:tr>
      <w:tr w:rsidR="0004627C" w:rsidRPr="008548E7" w:rsidTr="004044E4">
        <w:trPr>
          <w:tblHeader/>
        </w:trPr>
        <w:tc>
          <w:tcPr>
            <w:tcW w:w="1668" w:type="dxa"/>
            <w:tcBorders>
              <w:bottom w:val="single" w:sz="4" w:space="0" w:color="auto"/>
            </w:tcBorders>
          </w:tcPr>
          <w:p w:rsidR="0004627C" w:rsidRPr="004925A8" w:rsidRDefault="0004627C" w:rsidP="004044E4">
            <w:pPr>
              <w:spacing w:after="0" w:line="240" w:lineRule="auto"/>
              <w:rPr>
                <w:b/>
                <w:sz w:val="20"/>
                <w:szCs w:val="20"/>
              </w:rPr>
            </w:pPr>
            <w:r w:rsidRPr="004925A8">
              <w:rPr>
                <w:b/>
                <w:sz w:val="20"/>
                <w:szCs w:val="20"/>
              </w:rPr>
              <w:t>Infrastructure</w:t>
            </w:r>
          </w:p>
        </w:tc>
        <w:tc>
          <w:tcPr>
            <w:tcW w:w="1842" w:type="dxa"/>
          </w:tcPr>
          <w:p w:rsidR="0004627C" w:rsidRPr="008548E7" w:rsidRDefault="0004627C" w:rsidP="004044E4">
            <w:pPr>
              <w:spacing w:after="0" w:line="240" w:lineRule="auto"/>
              <w:rPr>
                <w:sz w:val="20"/>
                <w:szCs w:val="20"/>
              </w:rPr>
            </w:pPr>
            <w:r>
              <w:rPr>
                <w:sz w:val="20"/>
                <w:szCs w:val="20"/>
              </w:rPr>
              <w:t>Physical Security Arrangements</w:t>
            </w:r>
          </w:p>
        </w:tc>
        <w:tc>
          <w:tcPr>
            <w:tcW w:w="5245" w:type="dxa"/>
          </w:tcPr>
          <w:p w:rsidR="0004627C" w:rsidRDefault="0004627C" w:rsidP="004044E4">
            <w:pPr>
              <w:pStyle w:val="ParagraffRhestr"/>
              <w:spacing w:after="0" w:line="240" w:lineRule="auto"/>
              <w:ind w:left="0"/>
              <w:rPr>
                <w:sz w:val="20"/>
                <w:szCs w:val="20"/>
              </w:rPr>
            </w:pPr>
            <w:r>
              <w:rPr>
                <w:sz w:val="20"/>
                <w:szCs w:val="20"/>
              </w:rPr>
              <w:t xml:space="preserve">This audit will focus on the physical security arrangements within the Assembly including: </w:t>
            </w:r>
          </w:p>
          <w:p w:rsidR="0004627C" w:rsidRDefault="0004627C" w:rsidP="004044E4">
            <w:pPr>
              <w:pStyle w:val="ParagraffRhestr"/>
              <w:numPr>
                <w:ilvl w:val="0"/>
                <w:numId w:val="11"/>
              </w:numPr>
              <w:spacing w:after="0" w:line="240" w:lineRule="auto"/>
              <w:ind w:left="54" w:hanging="142"/>
              <w:rPr>
                <w:sz w:val="20"/>
                <w:szCs w:val="20"/>
              </w:rPr>
            </w:pPr>
            <w:r>
              <w:rPr>
                <w:sz w:val="20"/>
                <w:szCs w:val="20"/>
              </w:rPr>
              <w:t xml:space="preserve">evaluating the security framework and whether roles and responsibilities have been assigned; </w:t>
            </w:r>
          </w:p>
          <w:p w:rsidR="0004627C" w:rsidRDefault="0004627C" w:rsidP="004044E4">
            <w:pPr>
              <w:pStyle w:val="ParagraffRhestr"/>
              <w:numPr>
                <w:ilvl w:val="0"/>
                <w:numId w:val="11"/>
              </w:numPr>
              <w:spacing w:after="0" w:line="240" w:lineRule="auto"/>
              <w:ind w:left="54" w:hanging="142"/>
              <w:rPr>
                <w:sz w:val="20"/>
                <w:szCs w:val="20"/>
              </w:rPr>
            </w:pPr>
            <w:r>
              <w:rPr>
                <w:sz w:val="20"/>
                <w:szCs w:val="20"/>
              </w:rPr>
              <w:t>assessing the procedures and controls in place over physical security; and</w:t>
            </w:r>
          </w:p>
          <w:p w:rsidR="0004627C" w:rsidRPr="008548E7" w:rsidRDefault="0004627C" w:rsidP="004044E4">
            <w:pPr>
              <w:pStyle w:val="ParagraffRhestr"/>
              <w:numPr>
                <w:ilvl w:val="0"/>
                <w:numId w:val="11"/>
              </w:numPr>
              <w:spacing w:after="0" w:line="240" w:lineRule="auto"/>
              <w:ind w:left="54" w:hanging="142"/>
              <w:rPr>
                <w:sz w:val="20"/>
                <w:szCs w:val="20"/>
              </w:rPr>
            </w:pPr>
            <w:r>
              <w:rPr>
                <w:sz w:val="20"/>
                <w:szCs w:val="20"/>
              </w:rPr>
              <w:t>assessing the Assembly’s processes for maintaining, monitoring and reviewing its physical security arrangements.</w:t>
            </w:r>
          </w:p>
        </w:tc>
        <w:tc>
          <w:tcPr>
            <w:tcW w:w="1276" w:type="dxa"/>
          </w:tcPr>
          <w:p w:rsidR="0004627C" w:rsidRPr="008548E7" w:rsidRDefault="0004627C" w:rsidP="004044E4">
            <w:pPr>
              <w:spacing w:after="0" w:line="240" w:lineRule="auto"/>
              <w:rPr>
                <w:sz w:val="20"/>
                <w:szCs w:val="20"/>
              </w:rPr>
            </w:pPr>
            <w:r>
              <w:rPr>
                <w:sz w:val="20"/>
                <w:szCs w:val="20"/>
              </w:rPr>
              <w:t>September 2014</w:t>
            </w:r>
          </w:p>
        </w:tc>
        <w:tc>
          <w:tcPr>
            <w:tcW w:w="1276" w:type="dxa"/>
          </w:tcPr>
          <w:p w:rsidR="0004627C" w:rsidRPr="008548E7" w:rsidRDefault="0004627C" w:rsidP="004044E4">
            <w:pPr>
              <w:spacing w:after="0" w:line="240" w:lineRule="auto"/>
              <w:rPr>
                <w:sz w:val="20"/>
                <w:szCs w:val="20"/>
              </w:rPr>
            </w:pPr>
            <w:r>
              <w:rPr>
                <w:sz w:val="20"/>
                <w:szCs w:val="20"/>
              </w:rPr>
              <w:t>6</w:t>
            </w:r>
          </w:p>
        </w:tc>
        <w:tc>
          <w:tcPr>
            <w:tcW w:w="992" w:type="dxa"/>
          </w:tcPr>
          <w:p w:rsidR="0004627C" w:rsidRPr="008548E7" w:rsidRDefault="0004627C" w:rsidP="004044E4">
            <w:pPr>
              <w:spacing w:after="0" w:line="240" w:lineRule="auto"/>
              <w:rPr>
                <w:sz w:val="20"/>
                <w:szCs w:val="20"/>
              </w:rPr>
            </w:pPr>
            <w:r>
              <w:rPr>
                <w:sz w:val="20"/>
                <w:szCs w:val="20"/>
              </w:rPr>
              <w:t>Full</w:t>
            </w:r>
          </w:p>
        </w:tc>
        <w:tc>
          <w:tcPr>
            <w:tcW w:w="1276" w:type="dxa"/>
          </w:tcPr>
          <w:p w:rsidR="0004627C" w:rsidRPr="008548E7" w:rsidRDefault="0004627C" w:rsidP="004044E4">
            <w:pPr>
              <w:spacing w:after="0" w:line="240" w:lineRule="auto"/>
              <w:rPr>
                <w:sz w:val="20"/>
                <w:szCs w:val="20"/>
              </w:rPr>
            </w:pPr>
            <w:r>
              <w:rPr>
                <w:sz w:val="20"/>
                <w:szCs w:val="20"/>
              </w:rPr>
              <w:t>Outsource</w:t>
            </w:r>
          </w:p>
        </w:tc>
        <w:tc>
          <w:tcPr>
            <w:tcW w:w="1417" w:type="dxa"/>
          </w:tcPr>
          <w:p w:rsidR="0004627C" w:rsidRPr="008548E7" w:rsidRDefault="0004627C" w:rsidP="004044E4">
            <w:pPr>
              <w:spacing w:after="0" w:line="240" w:lineRule="auto"/>
              <w:rPr>
                <w:sz w:val="20"/>
                <w:szCs w:val="20"/>
              </w:rPr>
            </w:pPr>
            <w:r>
              <w:rPr>
                <w:sz w:val="20"/>
                <w:szCs w:val="20"/>
              </w:rPr>
              <w:t>Nov 2014</w:t>
            </w:r>
          </w:p>
        </w:tc>
      </w:tr>
      <w:tr w:rsidR="0004627C" w:rsidTr="004044E4">
        <w:trPr>
          <w:trHeight w:val="1354"/>
          <w:tblHeader/>
        </w:trPr>
        <w:tc>
          <w:tcPr>
            <w:tcW w:w="1668" w:type="dxa"/>
            <w:tcBorders>
              <w:bottom w:val="single" w:sz="4" w:space="0" w:color="auto"/>
            </w:tcBorders>
          </w:tcPr>
          <w:p w:rsidR="0004627C" w:rsidRPr="004925A8" w:rsidRDefault="0004627C" w:rsidP="004044E4">
            <w:pPr>
              <w:spacing w:after="0" w:line="240" w:lineRule="auto"/>
              <w:rPr>
                <w:b/>
                <w:sz w:val="20"/>
                <w:szCs w:val="20"/>
              </w:rPr>
            </w:pPr>
          </w:p>
        </w:tc>
        <w:tc>
          <w:tcPr>
            <w:tcW w:w="1842" w:type="dxa"/>
          </w:tcPr>
          <w:p w:rsidR="0004627C" w:rsidRDefault="0004627C" w:rsidP="004044E4">
            <w:pPr>
              <w:spacing w:after="0" w:line="240" w:lineRule="auto"/>
              <w:rPr>
                <w:sz w:val="20"/>
                <w:szCs w:val="20"/>
              </w:rPr>
            </w:pPr>
            <w:r>
              <w:rPr>
                <w:sz w:val="20"/>
                <w:szCs w:val="20"/>
              </w:rPr>
              <w:t>Legislative Work Bench</w:t>
            </w:r>
          </w:p>
        </w:tc>
        <w:tc>
          <w:tcPr>
            <w:tcW w:w="5245" w:type="dxa"/>
          </w:tcPr>
          <w:p w:rsidR="0004627C" w:rsidRDefault="0004627C" w:rsidP="004044E4">
            <w:pPr>
              <w:pStyle w:val="ParagraffRhestr"/>
              <w:numPr>
                <w:ilvl w:val="0"/>
                <w:numId w:val="11"/>
              </w:numPr>
              <w:spacing w:after="0" w:line="240" w:lineRule="auto"/>
              <w:ind w:left="54" w:hanging="142"/>
              <w:rPr>
                <w:sz w:val="20"/>
                <w:szCs w:val="20"/>
              </w:rPr>
            </w:pPr>
            <w:r>
              <w:rPr>
                <w:sz w:val="20"/>
                <w:szCs w:val="20"/>
              </w:rPr>
              <w:t xml:space="preserve">An audit assessing the specifications used in jointly procuring the software with the Welsh Government and the on-going methods and monitoring of the contract. </w:t>
            </w:r>
          </w:p>
          <w:p w:rsidR="0004627C" w:rsidRPr="0019661E" w:rsidRDefault="0004627C" w:rsidP="004044E4">
            <w:pPr>
              <w:pStyle w:val="ParagraffRhestr"/>
              <w:numPr>
                <w:ilvl w:val="0"/>
                <w:numId w:val="11"/>
              </w:numPr>
              <w:spacing w:after="0" w:line="240" w:lineRule="auto"/>
              <w:ind w:left="54" w:hanging="142"/>
              <w:rPr>
                <w:sz w:val="20"/>
                <w:szCs w:val="20"/>
              </w:rPr>
            </w:pPr>
            <w:r>
              <w:rPr>
                <w:sz w:val="20"/>
                <w:szCs w:val="20"/>
              </w:rPr>
              <w:t>Evaluation of the benefits of the system to the Assembly in the post implementation period.</w:t>
            </w:r>
          </w:p>
        </w:tc>
        <w:tc>
          <w:tcPr>
            <w:tcW w:w="1276" w:type="dxa"/>
          </w:tcPr>
          <w:p w:rsidR="0004627C" w:rsidRDefault="0004627C" w:rsidP="004044E4">
            <w:pPr>
              <w:spacing w:after="0" w:line="240" w:lineRule="auto"/>
              <w:rPr>
                <w:sz w:val="20"/>
                <w:szCs w:val="20"/>
              </w:rPr>
            </w:pPr>
            <w:r>
              <w:rPr>
                <w:sz w:val="20"/>
                <w:szCs w:val="20"/>
              </w:rPr>
              <w:t>June 2014</w:t>
            </w:r>
          </w:p>
        </w:tc>
        <w:tc>
          <w:tcPr>
            <w:tcW w:w="1276" w:type="dxa"/>
          </w:tcPr>
          <w:p w:rsidR="0004627C" w:rsidRDefault="0004627C" w:rsidP="004044E4">
            <w:pPr>
              <w:spacing w:after="0" w:line="240" w:lineRule="auto"/>
              <w:rPr>
                <w:sz w:val="20"/>
                <w:szCs w:val="20"/>
              </w:rPr>
            </w:pPr>
            <w:r>
              <w:rPr>
                <w:sz w:val="20"/>
                <w:szCs w:val="20"/>
              </w:rPr>
              <w:t>5</w:t>
            </w:r>
          </w:p>
        </w:tc>
        <w:tc>
          <w:tcPr>
            <w:tcW w:w="992" w:type="dxa"/>
          </w:tcPr>
          <w:p w:rsidR="0004627C" w:rsidRDefault="0004627C" w:rsidP="004044E4">
            <w:pPr>
              <w:spacing w:after="0" w:line="240" w:lineRule="auto"/>
              <w:rPr>
                <w:sz w:val="20"/>
                <w:szCs w:val="20"/>
              </w:rPr>
            </w:pPr>
            <w:r>
              <w:rPr>
                <w:sz w:val="20"/>
                <w:szCs w:val="20"/>
              </w:rPr>
              <w:t xml:space="preserve">Limited </w:t>
            </w:r>
          </w:p>
        </w:tc>
        <w:tc>
          <w:tcPr>
            <w:tcW w:w="1276" w:type="dxa"/>
          </w:tcPr>
          <w:p w:rsidR="0004627C" w:rsidRDefault="0004627C" w:rsidP="004044E4">
            <w:pPr>
              <w:spacing w:after="0" w:line="240" w:lineRule="auto"/>
              <w:rPr>
                <w:sz w:val="20"/>
                <w:szCs w:val="20"/>
              </w:rPr>
            </w:pPr>
            <w:r>
              <w:rPr>
                <w:sz w:val="20"/>
                <w:szCs w:val="20"/>
              </w:rPr>
              <w:t>In-house</w:t>
            </w:r>
          </w:p>
        </w:tc>
        <w:tc>
          <w:tcPr>
            <w:tcW w:w="1417" w:type="dxa"/>
          </w:tcPr>
          <w:p w:rsidR="0004627C" w:rsidRDefault="0004627C" w:rsidP="004044E4">
            <w:pPr>
              <w:spacing w:after="0" w:line="240" w:lineRule="auto"/>
              <w:rPr>
                <w:sz w:val="20"/>
                <w:szCs w:val="20"/>
              </w:rPr>
            </w:pPr>
            <w:r>
              <w:rPr>
                <w:sz w:val="20"/>
                <w:szCs w:val="20"/>
              </w:rPr>
              <w:t>November 2014</w:t>
            </w:r>
          </w:p>
        </w:tc>
      </w:tr>
      <w:tr w:rsidR="0004627C" w:rsidRPr="008548E7" w:rsidTr="004044E4">
        <w:trPr>
          <w:trHeight w:val="500"/>
          <w:tblHeader/>
        </w:trPr>
        <w:tc>
          <w:tcPr>
            <w:tcW w:w="1668" w:type="dxa"/>
            <w:tcBorders>
              <w:top w:val="single" w:sz="4" w:space="0" w:color="auto"/>
              <w:left w:val="single" w:sz="4" w:space="0" w:color="auto"/>
              <w:bottom w:val="nil"/>
              <w:right w:val="single" w:sz="4" w:space="0" w:color="auto"/>
            </w:tcBorders>
          </w:tcPr>
          <w:p w:rsidR="0004627C" w:rsidRPr="004925A8" w:rsidRDefault="0004627C" w:rsidP="004044E4">
            <w:pPr>
              <w:spacing w:after="0" w:line="240" w:lineRule="auto"/>
              <w:rPr>
                <w:b/>
                <w:sz w:val="20"/>
                <w:szCs w:val="20"/>
              </w:rPr>
            </w:pPr>
            <w:r w:rsidRPr="004925A8">
              <w:rPr>
                <w:b/>
                <w:sz w:val="20"/>
                <w:szCs w:val="20"/>
              </w:rPr>
              <w:t>Special projects</w:t>
            </w:r>
          </w:p>
        </w:tc>
        <w:tc>
          <w:tcPr>
            <w:tcW w:w="1842" w:type="dxa"/>
            <w:tcBorders>
              <w:left w:val="single" w:sz="4" w:space="0" w:color="auto"/>
            </w:tcBorders>
          </w:tcPr>
          <w:p w:rsidR="0004627C" w:rsidRPr="008548E7" w:rsidRDefault="0004627C" w:rsidP="004044E4">
            <w:pPr>
              <w:spacing w:after="0" w:line="240" w:lineRule="auto"/>
              <w:rPr>
                <w:sz w:val="20"/>
                <w:szCs w:val="20"/>
              </w:rPr>
            </w:pPr>
            <w:r>
              <w:rPr>
                <w:sz w:val="20"/>
                <w:szCs w:val="20"/>
              </w:rPr>
              <w:t>Finance</w:t>
            </w:r>
            <w:r w:rsidRPr="008548E7">
              <w:rPr>
                <w:sz w:val="20"/>
                <w:szCs w:val="20"/>
              </w:rPr>
              <w:t xml:space="preserve"> system</w:t>
            </w:r>
          </w:p>
        </w:tc>
        <w:tc>
          <w:tcPr>
            <w:tcW w:w="5245" w:type="dxa"/>
          </w:tcPr>
          <w:p w:rsidR="0004627C" w:rsidRPr="008548E7" w:rsidRDefault="0004627C" w:rsidP="004044E4">
            <w:pPr>
              <w:pStyle w:val="ParagraffRhestr"/>
              <w:spacing w:after="0" w:line="240" w:lineRule="auto"/>
              <w:ind w:left="0"/>
              <w:rPr>
                <w:sz w:val="20"/>
                <w:szCs w:val="20"/>
              </w:rPr>
            </w:pPr>
            <w:r w:rsidRPr="008548E7">
              <w:rPr>
                <w:sz w:val="20"/>
                <w:szCs w:val="20"/>
              </w:rPr>
              <w:t>HIA involvement in the project to establish business case to provide assurance and challenge.</w:t>
            </w:r>
          </w:p>
        </w:tc>
        <w:tc>
          <w:tcPr>
            <w:tcW w:w="1276" w:type="dxa"/>
          </w:tcPr>
          <w:p w:rsidR="0004627C" w:rsidRPr="008548E7" w:rsidRDefault="0004627C" w:rsidP="004044E4">
            <w:pPr>
              <w:spacing w:after="0" w:line="240" w:lineRule="auto"/>
              <w:rPr>
                <w:sz w:val="20"/>
                <w:szCs w:val="20"/>
              </w:rPr>
            </w:pPr>
            <w:r>
              <w:rPr>
                <w:sz w:val="20"/>
                <w:szCs w:val="20"/>
              </w:rPr>
              <w:t>When required</w:t>
            </w:r>
          </w:p>
        </w:tc>
        <w:tc>
          <w:tcPr>
            <w:tcW w:w="1276" w:type="dxa"/>
          </w:tcPr>
          <w:p w:rsidR="0004627C" w:rsidRPr="008548E7" w:rsidRDefault="0004627C" w:rsidP="004044E4">
            <w:pPr>
              <w:spacing w:after="0" w:line="240" w:lineRule="auto"/>
              <w:rPr>
                <w:sz w:val="20"/>
                <w:szCs w:val="20"/>
              </w:rPr>
            </w:pPr>
            <w:r w:rsidRPr="008548E7">
              <w:rPr>
                <w:sz w:val="20"/>
                <w:szCs w:val="20"/>
              </w:rPr>
              <w:t>4</w:t>
            </w:r>
          </w:p>
        </w:tc>
        <w:tc>
          <w:tcPr>
            <w:tcW w:w="992" w:type="dxa"/>
          </w:tcPr>
          <w:p w:rsidR="0004627C" w:rsidRPr="008548E7" w:rsidRDefault="0004627C" w:rsidP="004044E4">
            <w:pPr>
              <w:spacing w:after="0" w:line="240" w:lineRule="auto"/>
              <w:rPr>
                <w:sz w:val="20"/>
                <w:szCs w:val="20"/>
              </w:rPr>
            </w:pPr>
            <w:r w:rsidRPr="008548E7">
              <w:rPr>
                <w:sz w:val="20"/>
                <w:szCs w:val="20"/>
              </w:rPr>
              <w:t xml:space="preserve">No opinion  </w:t>
            </w:r>
          </w:p>
        </w:tc>
        <w:tc>
          <w:tcPr>
            <w:tcW w:w="1276" w:type="dxa"/>
          </w:tcPr>
          <w:p w:rsidR="0004627C" w:rsidRPr="008548E7" w:rsidRDefault="0004627C" w:rsidP="004044E4">
            <w:pPr>
              <w:spacing w:after="0" w:line="240" w:lineRule="auto"/>
              <w:rPr>
                <w:sz w:val="20"/>
                <w:szCs w:val="20"/>
              </w:rPr>
            </w:pPr>
            <w:r w:rsidRPr="008548E7">
              <w:rPr>
                <w:sz w:val="20"/>
                <w:szCs w:val="20"/>
              </w:rPr>
              <w:t>In-house</w:t>
            </w:r>
          </w:p>
        </w:tc>
        <w:tc>
          <w:tcPr>
            <w:tcW w:w="1417" w:type="dxa"/>
          </w:tcPr>
          <w:p w:rsidR="0004627C" w:rsidRPr="008548E7" w:rsidRDefault="0004627C" w:rsidP="004044E4">
            <w:pPr>
              <w:spacing w:after="0" w:line="240" w:lineRule="auto"/>
              <w:rPr>
                <w:sz w:val="20"/>
                <w:szCs w:val="20"/>
              </w:rPr>
            </w:pPr>
            <w:r>
              <w:rPr>
                <w:sz w:val="20"/>
                <w:szCs w:val="20"/>
              </w:rPr>
              <w:t>As required</w:t>
            </w:r>
          </w:p>
        </w:tc>
      </w:tr>
      <w:tr w:rsidR="0004627C" w:rsidRPr="008548E7" w:rsidTr="004044E4">
        <w:trPr>
          <w:tblHeader/>
        </w:trPr>
        <w:tc>
          <w:tcPr>
            <w:tcW w:w="1668" w:type="dxa"/>
            <w:tcBorders>
              <w:top w:val="nil"/>
              <w:left w:val="single" w:sz="4" w:space="0" w:color="auto"/>
              <w:bottom w:val="nil"/>
              <w:right w:val="single" w:sz="4" w:space="0" w:color="auto"/>
            </w:tcBorders>
          </w:tcPr>
          <w:p w:rsidR="0004627C" w:rsidRPr="008548E7" w:rsidRDefault="0004627C" w:rsidP="004044E4">
            <w:pPr>
              <w:spacing w:after="0" w:line="240" w:lineRule="auto"/>
              <w:rPr>
                <w:sz w:val="20"/>
                <w:szCs w:val="20"/>
              </w:rPr>
            </w:pPr>
          </w:p>
        </w:tc>
        <w:tc>
          <w:tcPr>
            <w:tcW w:w="1842" w:type="dxa"/>
            <w:tcBorders>
              <w:left w:val="single" w:sz="4" w:space="0" w:color="auto"/>
            </w:tcBorders>
          </w:tcPr>
          <w:p w:rsidR="0004627C" w:rsidRPr="008548E7" w:rsidRDefault="0004627C" w:rsidP="004044E4">
            <w:pPr>
              <w:spacing w:after="0" w:line="240" w:lineRule="auto"/>
              <w:rPr>
                <w:sz w:val="20"/>
                <w:szCs w:val="20"/>
              </w:rPr>
            </w:pPr>
            <w:r w:rsidRPr="008548E7">
              <w:rPr>
                <w:sz w:val="20"/>
                <w:szCs w:val="20"/>
              </w:rPr>
              <w:t>Assurance mapping</w:t>
            </w:r>
          </w:p>
        </w:tc>
        <w:tc>
          <w:tcPr>
            <w:tcW w:w="5245" w:type="dxa"/>
          </w:tcPr>
          <w:p w:rsidR="0004627C" w:rsidRDefault="0004627C" w:rsidP="004044E4">
            <w:pPr>
              <w:pStyle w:val="ParagraffRhestr"/>
              <w:numPr>
                <w:ilvl w:val="0"/>
                <w:numId w:val="11"/>
              </w:numPr>
              <w:spacing w:after="0" w:line="240" w:lineRule="auto"/>
              <w:ind w:left="54" w:hanging="142"/>
              <w:rPr>
                <w:sz w:val="20"/>
                <w:szCs w:val="20"/>
              </w:rPr>
            </w:pPr>
            <w:r w:rsidRPr="00345B23">
              <w:rPr>
                <w:sz w:val="20"/>
                <w:szCs w:val="20"/>
              </w:rPr>
              <w:t xml:space="preserve">This is an on-going project and will look at the sources of assurance across the Commission.  </w:t>
            </w:r>
          </w:p>
          <w:p w:rsidR="0004627C" w:rsidRPr="00345B23" w:rsidRDefault="0004627C" w:rsidP="004044E4">
            <w:pPr>
              <w:pStyle w:val="ParagraffRhestr"/>
              <w:numPr>
                <w:ilvl w:val="0"/>
                <w:numId w:val="11"/>
              </w:numPr>
              <w:spacing w:after="0" w:line="240" w:lineRule="auto"/>
              <w:ind w:left="54" w:hanging="142"/>
              <w:rPr>
                <w:sz w:val="20"/>
                <w:szCs w:val="20"/>
              </w:rPr>
            </w:pPr>
            <w:r w:rsidRPr="00345B23">
              <w:rPr>
                <w:sz w:val="20"/>
                <w:szCs w:val="20"/>
              </w:rPr>
              <w:t>These will be assessed and</w:t>
            </w:r>
            <w:bookmarkStart w:id="0" w:name="_GoBack"/>
            <w:bookmarkEnd w:id="0"/>
            <w:r w:rsidRPr="00345B23">
              <w:rPr>
                <w:sz w:val="20"/>
                <w:szCs w:val="20"/>
              </w:rPr>
              <w:t xml:space="preserve"> documented to ensure that Internal Audit works with the other assurance providers to ensure assurance is not duplicated and any gaps are identified and addressed.</w:t>
            </w:r>
          </w:p>
        </w:tc>
        <w:tc>
          <w:tcPr>
            <w:tcW w:w="1276" w:type="dxa"/>
          </w:tcPr>
          <w:p w:rsidR="0004627C" w:rsidRPr="008548E7" w:rsidRDefault="0004627C" w:rsidP="004044E4">
            <w:pPr>
              <w:spacing w:after="0" w:line="240" w:lineRule="auto"/>
              <w:rPr>
                <w:sz w:val="20"/>
                <w:szCs w:val="20"/>
              </w:rPr>
            </w:pPr>
            <w:r>
              <w:rPr>
                <w:sz w:val="20"/>
                <w:szCs w:val="20"/>
              </w:rPr>
              <w:t>On-going</w:t>
            </w:r>
          </w:p>
        </w:tc>
        <w:tc>
          <w:tcPr>
            <w:tcW w:w="1276" w:type="dxa"/>
          </w:tcPr>
          <w:p w:rsidR="0004627C" w:rsidRPr="008548E7" w:rsidRDefault="0004627C" w:rsidP="004044E4">
            <w:pPr>
              <w:spacing w:after="0" w:line="240" w:lineRule="auto"/>
              <w:rPr>
                <w:sz w:val="20"/>
                <w:szCs w:val="20"/>
              </w:rPr>
            </w:pPr>
            <w:r>
              <w:rPr>
                <w:sz w:val="20"/>
                <w:szCs w:val="20"/>
              </w:rPr>
              <w:t>7</w:t>
            </w:r>
          </w:p>
        </w:tc>
        <w:tc>
          <w:tcPr>
            <w:tcW w:w="992" w:type="dxa"/>
          </w:tcPr>
          <w:p w:rsidR="0004627C" w:rsidRPr="008548E7" w:rsidRDefault="0004627C" w:rsidP="004044E4">
            <w:pPr>
              <w:spacing w:after="0" w:line="240" w:lineRule="auto"/>
              <w:rPr>
                <w:sz w:val="20"/>
                <w:szCs w:val="20"/>
              </w:rPr>
            </w:pPr>
            <w:r w:rsidRPr="008548E7">
              <w:rPr>
                <w:sz w:val="20"/>
                <w:szCs w:val="20"/>
              </w:rPr>
              <w:t>No opinion</w:t>
            </w:r>
          </w:p>
        </w:tc>
        <w:tc>
          <w:tcPr>
            <w:tcW w:w="1276" w:type="dxa"/>
          </w:tcPr>
          <w:p w:rsidR="0004627C" w:rsidRPr="008548E7" w:rsidRDefault="0004627C" w:rsidP="004044E4">
            <w:pPr>
              <w:spacing w:after="0" w:line="240" w:lineRule="auto"/>
              <w:rPr>
                <w:sz w:val="20"/>
                <w:szCs w:val="20"/>
              </w:rPr>
            </w:pPr>
            <w:r w:rsidRPr="008548E7">
              <w:rPr>
                <w:sz w:val="20"/>
                <w:szCs w:val="20"/>
              </w:rPr>
              <w:t>In-house</w:t>
            </w:r>
          </w:p>
        </w:tc>
        <w:tc>
          <w:tcPr>
            <w:tcW w:w="1417" w:type="dxa"/>
          </w:tcPr>
          <w:p w:rsidR="0004627C" w:rsidRPr="008548E7" w:rsidRDefault="0004627C" w:rsidP="004044E4">
            <w:pPr>
              <w:spacing w:after="0" w:line="240" w:lineRule="auto"/>
              <w:rPr>
                <w:sz w:val="20"/>
                <w:szCs w:val="20"/>
              </w:rPr>
            </w:pPr>
            <w:r>
              <w:rPr>
                <w:sz w:val="20"/>
                <w:szCs w:val="20"/>
              </w:rPr>
              <w:t>On-going updates</w:t>
            </w:r>
          </w:p>
        </w:tc>
      </w:tr>
      <w:tr w:rsidR="0004627C" w:rsidTr="004044E4">
        <w:trPr>
          <w:tblHeader/>
        </w:trPr>
        <w:tc>
          <w:tcPr>
            <w:tcW w:w="1668" w:type="dxa"/>
            <w:tcBorders>
              <w:top w:val="nil"/>
              <w:left w:val="single" w:sz="4" w:space="0" w:color="auto"/>
              <w:bottom w:val="nil"/>
              <w:right w:val="single" w:sz="4" w:space="0" w:color="auto"/>
            </w:tcBorders>
          </w:tcPr>
          <w:p w:rsidR="0004627C" w:rsidRPr="008548E7" w:rsidRDefault="0004627C" w:rsidP="004044E4">
            <w:pPr>
              <w:spacing w:after="0" w:line="240" w:lineRule="auto"/>
              <w:rPr>
                <w:sz w:val="20"/>
                <w:szCs w:val="20"/>
              </w:rPr>
            </w:pPr>
          </w:p>
        </w:tc>
        <w:tc>
          <w:tcPr>
            <w:tcW w:w="1842" w:type="dxa"/>
            <w:tcBorders>
              <w:left w:val="single" w:sz="4" w:space="0" w:color="auto"/>
            </w:tcBorders>
          </w:tcPr>
          <w:p w:rsidR="0004627C" w:rsidRPr="008548E7" w:rsidRDefault="0004627C" w:rsidP="004044E4">
            <w:pPr>
              <w:spacing w:after="0" w:line="240" w:lineRule="auto"/>
              <w:rPr>
                <w:sz w:val="20"/>
                <w:szCs w:val="20"/>
              </w:rPr>
            </w:pPr>
            <w:r>
              <w:rPr>
                <w:sz w:val="20"/>
                <w:szCs w:val="20"/>
              </w:rPr>
              <w:t>External Advisors Recruitment</w:t>
            </w:r>
          </w:p>
        </w:tc>
        <w:tc>
          <w:tcPr>
            <w:tcW w:w="5245" w:type="dxa"/>
          </w:tcPr>
          <w:p w:rsidR="0004627C" w:rsidRDefault="0004627C" w:rsidP="004044E4">
            <w:pPr>
              <w:pStyle w:val="ParagraffRhestr"/>
              <w:spacing w:after="0" w:line="240" w:lineRule="auto"/>
              <w:ind w:left="0"/>
              <w:rPr>
                <w:sz w:val="20"/>
                <w:szCs w:val="20"/>
              </w:rPr>
            </w:pPr>
            <w:r>
              <w:rPr>
                <w:sz w:val="20"/>
                <w:szCs w:val="20"/>
              </w:rPr>
              <w:t>Examination of the methods used for the appointment of expert advisors to Committees, the process for payment and robustness of controls.</w:t>
            </w:r>
          </w:p>
        </w:tc>
        <w:tc>
          <w:tcPr>
            <w:tcW w:w="1276" w:type="dxa"/>
          </w:tcPr>
          <w:p w:rsidR="0004627C" w:rsidRDefault="0004627C" w:rsidP="004044E4">
            <w:pPr>
              <w:spacing w:after="0" w:line="240" w:lineRule="auto"/>
              <w:rPr>
                <w:sz w:val="20"/>
                <w:szCs w:val="20"/>
              </w:rPr>
            </w:pPr>
            <w:r>
              <w:rPr>
                <w:sz w:val="20"/>
                <w:szCs w:val="20"/>
              </w:rPr>
              <w:t>January 2015</w:t>
            </w:r>
          </w:p>
        </w:tc>
        <w:tc>
          <w:tcPr>
            <w:tcW w:w="1276" w:type="dxa"/>
          </w:tcPr>
          <w:p w:rsidR="0004627C" w:rsidRDefault="0004627C" w:rsidP="004044E4">
            <w:pPr>
              <w:spacing w:after="0" w:line="240" w:lineRule="auto"/>
              <w:rPr>
                <w:sz w:val="20"/>
                <w:szCs w:val="20"/>
              </w:rPr>
            </w:pPr>
            <w:r>
              <w:rPr>
                <w:sz w:val="20"/>
                <w:szCs w:val="20"/>
              </w:rPr>
              <w:t>4</w:t>
            </w:r>
          </w:p>
        </w:tc>
        <w:tc>
          <w:tcPr>
            <w:tcW w:w="992" w:type="dxa"/>
          </w:tcPr>
          <w:p w:rsidR="0004627C" w:rsidRPr="008548E7" w:rsidRDefault="0004627C" w:rsidP="004044E4">
            <w:pPr>
              <w:spacing w:after="0" w:line="240" w:lineRule="auto"/>
              <w:rPr>
                <w:sz w:val="20"/>
                <w:szCs w:val="20"/>
              </w:rPr>
            </w:pPr>
            <w:r>
              <w:rPr>
                <w:sz w:val="20"/>
                <w:szCs w:val="20"/>
              </w:rPr>
              <w:t>Limited</w:t>
            </w:r>
          </w:p>
        </w:tc>
        <w:tc>
          <w:tcPr>
            <w:tcW w:w="1276" w:type="dxa"/>
          </w:tcPr>
          <w:p w:rsidR="0004627C" w:rsidRPr="008548E7" w:rsidRDefault="0004627C" w:rsidP="004044E4">
            <w:pPr>
              <w:spacing w:after="0" w:line="240" w:lineRule="auto"/>
              <w:rPr>
                <w:sz w:val="20"/>
                <w:szCs w:val="20"/>
              </w:rPr>
            </w:pPr>
            <w:r>
              <w:rPr>
                <w:sz w:val="20"/>
                <w:szCs w:val="20"/>
              </w:rPr>
              <w:t>In-house</w:t>
            </w:r>
          </w:p>
        </w:tc>
        <w:tc>
          <w:tcPr>
            <w:tcW w:w="1417" w:type="dxa"/>
          </w:tcPr>
          <w:p w:rsidR="0004627C" w:rsidRDefault="0004627C" w:rsidP="004044E4">
            <w:pPr>
              <w:spacing w:after="0" w:line="240" w:lineRule="auto"/>
              <w:rPr>
                <w:sz w:val="20"/>
                <w:szCs w:val="20"/>
              </w:rPr>
            </w:pPr>
            <w:r>
              <w:rPr>
                <w:sz w:val="20"/>
                <w:szCs w:val="20"/>
              </w:rPr>
              <w:t>Feb/April 2015</w:t>
            </w:r>
          </w:p>
        </w:tc>
      </w:tr>
      <w:tr w:rsidR="0004627C" w:rsidTr="004044E4">
        <w:trPr>
          <w:tblHeader/>
        </w:trPr>
        <w:tc>
          <w:tcPr>
            <w:tcW w:w="1668" w:type="dxa"/>
            <w:tcBorders>
              <w:top w:val="nil"/>
              <w:left w:val="single" w:sz="4" w:space="0" w:color="auto"/>
              <w:bottom w:val="nil"/>
              <w:right w:val="single" w:sz="4" w:space="0" w:color="auto"/>
            </w:tcBorders>
          </w:tcPr>
          <w:p w:rsidR="0004627C" w:rsidRPr="008548E7" w:rsidRDefault="0004627C" w:rsidP="004044E4">
            <w:pPr>
              <w:spacing w:after="0" w:line="240" w:lineRule="auto"/>
              <w:rPr>
                <w:sz w:val="20"/>
                <w:szCs w:val="20"/>
              </w:rPr>
            </w:pPr>
          </w:p>
        </w:tc>
        <w:tc>
          <w:tcPr>
            <w:tcW w:w="1842" w:type="dxa"/>
            <w:tcBorders>
              <w:left w:val="single" w:sz="4" w:space="0" w:color="auto"/>
            </w:tcBorders>
          </w:tcPr>
          <w:p w:rsidR="0004627C" w:rsidRDefault="0004627C" w:rsidP="004044E4">
            <w:pPr>
              <w:spacing w:after="0" w:line="240" w:lineRule="auto"/>
              <w:rPr>
                <w:sz w:val="20"/>
                <w:szCs w:val="20"/>
              </w:rPr>
            </w:pPr>
            <w:r>
              <w:rPr>
                <w:sz w:val="20"/>
                <w:szCs w:val="20"/>
              </w:rPr>
              <w:t>Horizon Scanning WAO Reports</w:t>
            </w:r>
          </w:p>
        </w:tc>
        <w:tc>
          <w:tcPr>
            <w:tcW w:w="5245" w:type="dxa"/>
          </w:tcPr>
          <w:p w:rsidR="0004627C" w:rsidRDefault="0004627C" w:rsidP="004044E4">
            <w:pPr>
              <w:pStyle w:val="ParagraffRhestr"/>
              <w:spacing w:after="0" w:line="240" w:lineRule="auto"/>
              <w:ind w:left="0"/>
              <w:rPr>
                <w:sz w:val="20"/>
                <w:szCs w:val="20"/>
              </w:rPr>
            </w:pPr>
            <w:r>
              <w:rPr>
                <w:sz w:val="20"/>
                <w:szCs w:val="20"/>
              </w:rPr>
              <w:t>Examining latest Wales Audit Office Reports considered by Public Accounts Committee and evaluating their relevance/impact to the Assembly.</w:t>
            </w:r>
          </w:p>
        </w:tc>
        <w:tc>
          <w:tcPr>
            <w:tcW w:w="1276" w:type="dxa"/>
          </w:tcPr>
          <w:p w:rsidR="0004627C" w:rsidRDefault="0004627C" w:rsidP="004044E4">
            <w:pPr>
              <w:spacing w:after="0" w:line="240" w:lineRule="auto"/>
              <w:rPr>
                <w:sz w:val="20"/>
                <w:szCs w:val="20"/>
              </w:rPr>
            </w:pPr>
            <w:r>
              <w:rPr>
                <w:sz w:val="20"/>
                <w:szCs w:val="20"/>
              </w:rPr>
              <w:t>On-going</w:t>
            </w:r>
          </w:p>
        </w:tc>
        <w:tc>
          <w:tcPr>
            <w:tcW w:w="1276" w:type="dxa"/>
          </w:tcPr>
          <w:p w:rsidR="0004627C" w:rsidRDefault="0004627C" w:rsidP="004044E4">
            <w:pPr>
              <w:spacing w:after="0" w:line="240" w:lineRule="auto"/>
              <w:rPr>
                <w:sz w:val="20"/>
                <w:szCs w:val="20"/>
              </w:rPr>
            </w:pPr>
            <w:r>
              <w:rPr>
                <w:sz w:val="20"/>
                <w:szCs w:val="20"/>
              </w:rPr>
              <w:t>5</w:t>
            </w:r>
          </w:p>
        </w:tc>
        <w:tc>
          <w:tcPr>
            <w:tcW w:w="992" w:type="dxa"/>
          </w:tcPr>
          <w:p w:rsidR="0004627C" w:rsidRDefault="0004627C" w:rsidP="004044E4">
            <w:pPr>
              <w:spacing w:after="0" w:line="240" w:lineRule="auto"/>
              <w:rPr>
                <w:sz w:val="20"/>
                <w:szCs w:val="20"/>
              </w:rPr>
            </w:pPr>
            <w:r>
              <w:rPr>
                <w:sz w:val="20"/>
                <w:szCs w:val="20"/>
              </w:rPr>
              <w:t>Limited</w:t>
            </w:r>
          </w:p>
        </w:tc>
        <w:tc>
          <w:tcPr>
            <w:tcW w:w="1276" w:type="dxa"/>
          </w:tcPr>
          <w:p w:rsidR="0004627C" w:rsidRDefault="0004627C" w:rsidP="004044E4">
            <w:pPr>
              <w:spacing w:after="0" w:line="240" w:lineRule="auto"/>
              <w:rPr>
                <w:sz w:val="20"/>
                <w:szCs w:val="20"/>
              </w:rPr>
            </w:pPr>
            <w:r>
              <w:rPr>
                <w:sz w:val="20"/>
                <w:szCs w:val="20"/>
              </w:rPr>
              <w:t>In-house</w:t>
            </w:r>
          </w:p>
        </w:tc>
        <w:tc>
          <w:tcPr>
            <w:tcW w:w="1417" w:type="dxa"/>
          </w:tcPr>
          <w:p w:rsidR="0004627C" w:rsidRDefault="0004627C" w:rsidP="004044E4">
            <w:pPr>
              <w:spacing w:after="0" w:line="240" w:lineRule="auto"/>
              <w:rPr>
                <w:sz w:val="20"/>
                <w:szCs w:val="20"/>
              </w:rPr>
            </w:pPr>
            <w:r>
              <w:rPr>
                <w:sz w:val="20"/>
                <w:szCs w:val="20"/>
              </w:rPr>
              <w:t>On-going updates</w:t>
            </w:r>
          </w:p>
        </w:tc>
      </w:tr>
      <w:tr w:rsidR="0004627C" w:rsidTr="004044E4">
        <w:trPr>
          <w:tblHeader/>
        </w:trPr>
        <w:tc>
          <w:tcPr>
            <w:tcW w:w="1668" w:type="dxa"/>
            <w:tcBorders>
              <w:top w:val="nil"/>
              <w:left w:val="single" w:sz="4" w:space="0" w:color="auto"/>
              <w:bottom w:val="single" w:sz="4" w:space="0" w:color="auto"/>
              <w:right w:val="single" w:sz="4" w:space="0" w:color="auto"/>
            </w:tcBorders>
          </w:tcPr>
          <w:p w:rsidR="0004627C" w:rsidRPr="008548E7" w:rsidRDefault="0004627C" w:rsidP="004044E4">
            <w:pPr>
              <w:spacing w:after="0" w:line="240" w:lineRule="auto"/>
              <w:rPr>
                <w:sz w:val="20"/>
                <w:szCs w:val="20"/>
              </w:rPr>
            </w:pPr>
          </w:p>
        </w:tc>
        <w:tc>
          <w:tcPr>
            <w:tcW w:w="1842" w:type="dxa"/>
            <w:tcBorders>
              <w:left w:val="single" w:sz="4" w:space="0" w:color="auto"/>
            </w:tcBorders>
          </w:tcPr>
          <w:p w:rsidR="0004627C" w:rsidRDefault="0004627C" w:rsidP="004044E4">
            <w:pPr>
              <w:spacing w:after="0" w:line="240" w:lineRule="auto"/>
              <w:rPr>
                <w:sz w:val="20"/>
                <w:szCs w:val="20"/>
              </w:rPr>
            </w:pPr>
            <w:r>
              <w:rPr>
                <w:sz w:val="20"/>
                <w:szCs w:val="20"/>
              </w:rPr>
              <w:t>Programme Management</w:t>
            </w:r>
          </w:p>
        </w:tc>
        <w:tc>
          <w:tcPr>
            <w:tcW w:w="5245" w:type="dxa"/>
          </w:tcPr>
          <w:p w:rsidR="0004627C" w:rsidRDefault="0004627C" w:rsidP="004044E4">
            <w:pPr>
              <w:pStyle w:val="ParagraffRhestr"/>
              <w:spacing w:after="0" w:line="240" w:lineRule="auto"/>
              <w:ind w:left="0"/>
              <w:rPr>
                <w:sz w:val="20"/>
                <w:szCs w:val="20"/>
              </w:rPr>
            </w:pPr>
            <w:r>
              <w:rPr>
                <w:sz w:val="20"/>
                <w:szCs w:val="20"/>
              </w:rPr>
              <w:t>Providing audit advice on the development of the Assembly approach to Programme Management.</w:t>
            </w:r>
          </w:p>
        </w:tc>
        <w:tc>
          <w:tcPr>
            <w:tcW w:w="1276" w:type="dxa"/>
          </w:tcPr>
          <w:p w:rsidR="0004627C" w:rsidRDefault="0004627C" w:rsidP="004044E4">
            <w:pPr>
              <w:spacing w:after="0" w:line="240" w:lineRule="auto"/>
              <w:rPr>
                <w:sz w:val="20"/>
                <w:szCs w:val="20"/>
              </w:rPr>
            </w:pPr>
            <w:r>
              <w:rPr>
                <w:sz w:val="20"/>
                <w:szCs w:val="20"/>
              </w:rPr>
              <w:t>When Required</w:t>
            </w:r>
          </w:p>
        </w:tc>
        <w:tc>
          <w:tcPr>
            <w:tcW w:w="1276" w:type="dxa"/>
          </w:tcPr>
          <w:p w:rsidR="0004627C" w:rsidRDefault="0004627C" w:rsidP="004044E4">
            <w:pPr>
              <w:spacing w:after="0" w:line="240" w:lineRule="auto"/>
              <w:rPr>
                <w:sz w:val="20"/>
                <w:szCs w:val="20"/>
              </w:rPr>
            </w:pPr>
            <w:r>
              <w:rPr>
                <w:sz w:val="20"/>
                <w:szCs w:val="20"/>
              </w:rPr>
              <w:t>3</w:t>
            </w:r>
          </w:p>
        </w:tc>
        <w:tc>
          <w:tcPr>
            <w:tcW w:w="992" w:type="dxa"/>
          </w:tcPr>
          <w:p w:rsidR="0004627C" w:rsidRDefault="0004627C" w:rsidP="004044E4">
            <w:pPr>
              <w:spacing w:after="0" w:line="240" w:lineRule="auto"/>
              <w:rPr>
                <w:sz w:val="20"/>
                <w:szCs w:val="20"/>
              </w:rPr>
            </w:pPr>
            <w:r>
              <w:rPr>
                <w:sz w:val="20"/>
                <w:szCs w:val="20"/>
              </w:rPr>
              <w:t>No opinion</w:t>
            </w:r>
          </w:p>
        </w:tc>
        <w:tc>
          <w:tcPr>
            <w:tcW w:w="1276" w:type="dxa"/>
          </w:tcPr>
          <w:p w:rsidR="0004627C" w:rsidRDefault="0004627C" w:rsidP="004044E4">
            <w:pPr>
              <w:spacing w:after="0" w:line="240" w:lineRule="auto"/>
              <w:rPr>
                <w:sz w:val="20"/>
                <w:szCs w:val="20"/>
              </w:rPr>
            </w:pPr>
            <w:r>
              <w:rPr>
                <w:sz w:val="20"/>
                <w:szCs w:val="20"/>
              </w:rPr>
              <w:t>In-house</w:t>
            </w:r>
          </w:p>
        </w:tc>
        <w:tc>
          <w:tcPr>
            <w:tcW w:w="1417" w:type="dxa"/>
          </w:tcPr>
          <w:p w:rsidR="0004627C" w:rsidRDefault="0004627C" w:rsidP="004044E4">
            <w:pPr>
              <w:spacing w:after="0" w:line="240" w:lineRule="auto"/>
              <w:rPr>
                <w:sz w:val="20"/>
                <w:szCs w:val="20"/>
              </w:rPr>
            </w:pPr>
            <w:r>
              <w:rPr>
                <w:sz w:val="20"/>
                <w:szCs w:val="20"/>
              </w:rPr>
              <w:t>As required</w:t>
            </w:r>
          </w:p>
        </w:tc>
      </w:tr>
      <w:tr w:rsidR="0004627C" w:rsidRPr="00E366AB" w:rsidTr="00231957">
        <w:trPr>
          <w:tblHeader/>
        </w:trPr>
        <w:tc>
          <w:tcPr>
            <w:tcW w:w="1668" w:type="dxa"/>
            <w:shd w:val="clear" w:color="auto" w:fill="F2F2F2"/>
          </w:tcPr>
          <w:p w:rsidR="0004627C" w:rsidRPr="00E366AB" w:rsidRDefault="0004627C" w:rsidP="004044E4">
            <w:pPr>
              <w:spacing w:after="0" w:line="240" w:lineRule="auto"/>
              <w:rPr>
                <w:b/>
                <w:sz w:val="20"/>
                <w:szCs w:val="20"/>
              </w:rPr>
            </w:pPr>
            <w:r>
              <w:rPr>
                <w:b/>
                <w:sz w:val="20"/>
                <w:szCs w:val="20"/>
              </w:rPr>
              <w:t>A</w:t>
            </w:r>
            <w:r w:rsidRPr="00E366AB">
              <w:rPr>
                <w:b/>
                <w:sz w:val="20"/>
                <w:szCs w:val="20"/>
              </w:rPr>
              <w:t>rea</w:t>
            </w:r>
          </w:p>
        </w:tc>
        <w:tc>
          <w:tcPr>
            <w:tcW w:w="1842" w:type="dxa"/>
            <w:shd w:val="clear" w:color="auto" w:fill="F2F2F2"/>
          </w:tcPr>
          <w:p w:rsidR="0004627C" w:rsidRPr="00E366AB" w:rsidRDefault="0004627C" w:rsidP="004044E4">
            <w:pPr>
              <w:spacing w:after="0" w:line="240" w:lineRule="auto"/>
              <w:rPr>
                <w:b/>
                <w:sz w:val="20"/>
                <w:szCs w:val="20"/>
              </w:rPr>
            </w:pPr>
            <w:r>
              <w:rPr>
                <w:b/>
                <w:sz w:val="20"/>
                <w:szCs w:val="20"/>
              </w:rPr>
              <w:t>Original   Report                       Date</w:t>
            </w:r>
          </w:p>
        </w:tc>
        <w:tc>
          <w:tcPr>
            <w:tcW w:w="5245" w:type="dxa"/>
            <w:shd w:val="clear" w:color="auto" w:fill="F2F2F2"/>
          </w:tcPr>
          <w:p w:rsidR="0004627C" w:rsidRPr="00E366AB" w:rsidRDefault="0004627C" w:rsidP="004044E4">
            <w:pPr>
              <w:spacing w:after="0" w:line="240" w:lineRule="auto"/>
              <w:rPr>
                <w:b/>
                <w:sz w:val="20"/>
                <w:szCs w:val="20"/>
              </w:rPr>
            </w:pPr>
            <w:r>
              <w:rPr>
                <w:b/>
                <w:sz w:val="20"/>
                <w:szCs w:val="20"/>
              </w:rPr>
              <w:t>Audit Area</w:t>
            </w:r>
            <w:r w:rsidRPr="00E366AB">
              <w:rPr>
                <w:b/>
                <w:sz w:val="20"/>
                <w:szCs w:val="20"/>
              </w:rPr>
              <w:t xml:space="preserve"> </w:t>
            </w:r>
          </w:p>
        </w:tc>
        <w:tc>
          <w:tcPr>
            <w:tcW w:w="1276" w:type="dxa"/>
            <w:shd w:val="clear" w:color="auto" w:fill="F2F2F2"/>
          </w:tcPr>
          <w:p w:rsidR="0004627C" w:rsidRPr="00E366AB" w:rsidRDefault="0004627C" w:rsidP="004044E4">
            <w:pPr>
              <w:spacing w:after="0" w:line="240" w:lineRule="auto"/>
              <w:rPr>
                <w:b/>
                <w:sz w:val="20"/>
                <w:szCs w:val="20"/>
              </w:rPr>
            </w:pPr>
            <w:r w:rsidRPr="00E366AB">
              <w:rPr>
                <w:b/>
                <w:sz w:val="20"/>
                <w:szCs w:val="20"/>
              </w:rPr>
              <w:t>Timing</w:t>
            </w:r>
          </w:p>
        </w:tc>
        <w:tc>
          <w:tcPr>
            <w:tcW w:w="1276" w:type="dxa"/>
            <w:shd w:val="clear" w:color="auto" w:fill="F2F2F2"/>
          </w:tcPr>
          <w:p w:rsidR="0004627C" w:rsidRPr="00E366AB" w:rsidRDefault="0004627C" w:rsidP="004044E4">
            <w:pPr>
              <w:spacing w:after="0" w:line="240" w:lineRule="auto"/>
              <w:rPr>
                <w:b/>
                <w:sz w:val="20"/>
                <w:szCs w:val="20"/>
              </w:rPr>
            </w:pPr>
            <w:r w:rsidRPr="00E366AB">
              <w:rPr>
                <w:b/>
                <w:sz w:val="20"/>
                <w:szCs w:val="20"/>
              </w:rPr>
              <w:t>Estimated days</w:t>
            </w:r>
          </w:p>
          <w:p w:rsidR="0004627C" w:rsidRPr="00E366AB" w:rsidRDefault="0004627C" w:rsidP="004044E4">
            <w:pPr>
              <w:spacing w:after="0" w:line="240" w:lineRule="auto"/>
              <w:rPr>
                <w:b/>
                <w:sz w:val="20"/>
                <w:szCs w:val="20"/>
              </w:rPr>
            </w:pPr>
            <w:r w:rsidRPr="00E366AB">
              <w:rPr>
                <w:b/>
                <w:sz w:val="20"/>
                <w:szCs w:val="20"/>
              </w:rPr>
              <w:t xml:space="preserve"> </w:t>
            </w:r>
          </w:p>
        </w:tc>
        <w:tc>
          <w:tcPr>
            <w:tcW w:w="992" w:type="dxa"/>
            <w:shd w:val="clear" w:color="auto" w:fill="F2F2F2"/>
          </w:tcPr>
          <w:p w:rsidR="0004627C" w:rsidRPr="00E366AB" w:rsidRDefault="0004627C" w:rsidP="004044E4">
            <w:pPr>
              <w:spacing w:after="0" w:line="240" w:lineRule="auto"/>
              <w:rPr>
                <w:b/>
                <w:sz w:val="20"/>
                <w:szCs w:val="20"/>
              </w:rPr>
            </w:pPr>
            <w:r w:rsidRPr="00E366AB">
              <w:rPr>
                <w:b/>
                <w:sz w:val="20"/>
                <w:szCs w:val="20"/>
              </w:rPr>
              <w:t>Type of audit</w:t>
            </w:r>
          </w:p>
        </w:tc>
        <w:tc>
          <w:tcPr>
            <w:tcW w:w="1276" w:type="dxa"/>
            <w:shd w:val="clear" w:color="auto" w:fill="F2F2F2"/>
          </w:tcPr>
          <w:p w:rsidR="0004627C" w:rsidRPr="00E366AB" w:rsidRDefault="0004627C" w:rsidP="004044E4">
            <w:pPr>
              <w:spacing w:after="0" w:line="240" w:lineRule="auto"/>
              <w:rPr>
                <w:b/>
                <w:sz w:val="20"/>
                <w:szCs w:val="20"/>
              </w:rPr>
            </w:pPr>
            <w:r w:rsidRPr="00E366AB">
              <w:rPr>
                <w:b/>
                <w:sz w:val="20"/>
                <w:szCs w:val="20"/>
              </w:rPr>
              <w:t>In-house/ outsource</w:t>
            </w:r>
          </w:p>
        </w:tc>
        <w:tc>
          <w:tcPr>
            <w:tcW w:w="1417" w:type="dxa"/>
            <w:shd w:val="clear" w:color="auto" w:fill="F2F2F2"/>
          </w:tcPr>
          <w:p w:rsidR="0004627C" w:rsidRPr="00E366AB" w:rsidRDefault="0004627C" w:rsidP="004044E4">
            <w:pPr>
              <w:spacing w:after="0" w:line="240" w:lineRule="auto"/>
              <w:rPr>
                <w:b/>
                <w:sz w:val="20"/>
                <w:szCs w:val="20"/>
              </w:rPr>
            </w:pPr>
            <w:r w:rsidRPr="00E366AB">
              <w:rPr>
                <w:b/>
                <w:sz w:val="20"/>
                <w:szCs w:val="20"/>
              </w:rPr>
              <w:t xml:space="preserve">Target Audit Committee </w:t>
            </w:r>
          </w:p>
        </w:tc>
      </w:tr>
      <w:tr w:rsidR="0004627C" w:rsidRPr="008548E7" w:rsidTr="00231957">
        <w:trPr>
          <w:tblHeader/>
        </w:trPr>
        <w:tc>
          <w:tcPr>
            <w:tcW w:w="1668" w:type="dxa"/>
            <w:vMerge w:val="restart"/>
            <w:tcBorders>
              <w:top w:val="single" w:sz="4" w:space="0" w:color="auto"/>
            </w:tcBorders>
          </w:tcPr>
          <w:p w:rsidR="0004627C" w:rsidRPr="004925A8" w:rsidRDefault="0004627C" w:rsidP="004044E4">
            <w:pPr>
              <w:spacing w:after="0" w:line="240" w:lineRule="auto"/>
              <w:rPr>
                <w:b/>
                <w:sz w:val="20"/>
                <w:szCs w:val="20"/>
              </w:rPr>
            </w:pPr>
            <w:r w:rsidRPr="004925A8">
              <w:rPr>
                <w:b/>
                <w:sz w:val="20"/>
                <w:szCs w:val="20"/>
              </w:rPr>
              <w:lastRenderedPageBreak/>
              <w:t>Follow up audits</w:t>
            </w:r>
          </w:p>
        </w:tc>
        <w:tc>
          <w:tcPr>
            <w:tcW w:w="1842" w:type="dxa"/>
          </w:tcPr>
          <w:p w:rsidR="0004627C" w:rsidRPr="008548E7" w:rsidRDefault="0004627C" w:rsidP="004044E4">
            <w:pPr>
              <w:spacing w:after="0" w:line="240" w:lineRule="auto"/>
              <w:rPr>
                <w:sz w:val="20"/>
                <w:szCs w:val="20"/>
              </w:rPr>
            </w:pPr>
            <w:r>
              <w:rPr>
                <w:sz w:val="20"/>
                <w:szCs w:val="20"/>
              </w:rPr>
              <w:t>January 2014</w:t>
            </w:r>
          </w:p>
        </w:tc>
        <w:tc>
          <w:tcPr>
            <w:tcW w:w="5245" w:type="dxa"/>
          </w:tcPr>
          <w:p w:rsidR="0004627C" w:rsidRPr="008548E7" w:rsidRDefault="0004627C" w:rsidP="004044E4">
            <w:pPr>
              <w:spacing w:after="0" w:line="240" w:lineRule="auto"/>
              <w:rPr>
                <w:sz w:val="20"/>
                <w:szCs w:val="20"/>
              </w:rPr>
            </w:pPr>
            <w:r>
              <w:rPr>
                <w:sz w:val="20"/>
                <w:szCs w:val="20"/>
              </w:rPr>
              <w:t>Business Continuity Planning</w:t>
            </w:r>
            <w:r w:rsidRPr="008548E7">
              <w:rPr>
                <w:sz w:val="20"/>
                <w:szCs w:val="20"/>
              </w:rPr>
              <w:t xml:space="preserve"> </w:t>
            </w:r>
          </w:p>
        </w:tc>
        <w:tc>
          <w:tcPr>
            <w:tcW w:w="1276" w:type="dxa"/>
          </w:tcPr>
          <w:p w:rsidR="0004627C" w:rsidRPr="008548E7" w:rsidRDefault="0004627C" w:rsidP="004044E4">
            <w:pPr>
              <w:spacing w:after="0" w:line="240" w:lineRule="auto"/>
              <w:rPr>
                <w:sz w:val="20"/>
                <w:szCs w:val="20"/>
              </w:rPr>
            </w:pPr>
            <w:r>
              <w:rPr>
                <w:sz w:val="20"/>
                <w:szCs w:val="20"/>
              </w:rPr>
              <w:t>Oct 2014</w:t>
            </w:r>
          </w:p>
        </w:tc>
        <w:tc>
          <w:tcPr>
            <w:tcW w:w="1276" w:type="dxa"/>
          </w:tcPr>
          <w:p w:rsidR="0004627C" w:rsidRPr="008548E7" w:rsidRDefault="0004627C" w:rsidP="004044E4">
            <w:pPr>
              <w:spacing w:after="0" w:line="240" w:lineRule="auto"/>
              <w:rPr>
                <w:sz w:val="20"/>
                <w:szCs w:val="20"/>
              </w:rPr>
            </w:pPr>
            <w:r>
              <w:rPr>
                <w:sz w:val="20"/>
                <w:szCs w:val="20"/>
              </w:rPr>
              <w:t>2</w:t>
            </w:r>
          </w:p>
        </w:tc>
        <w:tc>
          <w:tcPr>
            <w:tcW w:w="992" w:type="dxa"/>
          </w:tcPr>
          <w:p w:rsidR="0004627C" w:rsidRPr="008548E7" w:rsidRDefault="0004627C" w:rsidP="004044E4">
            <w:pPr>
              <w:spacing w:after="0" w:line="240" w:lineRule="auto"/>
              <w:rPr>
                <w:sz w:val="20"/>
                <w:szCs w:val="20"/>
              </w:rPr>
            </w:pPr>
            <w:r w:rsidRPr="008548E7">
              <w:rPr>
                <w:sz w:val="20"/>
                <w:szCs w:val="20"/>
              </w:rPr>
              <w:t>Limited</w:t>
            </w:r>
          </w:p>
        </w:tc>
        <w:tc>
          <w:tcPr>
            <w:tcW w:w="1276" w:type="dxa"/>
          </w:tcPr>
          <w:p w:rsidR="0004627C" w:rsidRPr="008548E7" w:rsidRDefault="0004627C" w:rsidP="004044E4">
            <w:pPr>
              <w:spacing w:after="0" w:line="240" w:lineRule="auto"/>
              <w:rPr>
                <w:sz w:val="20"/>
                <w:szCs w:val="20"/>
              </w:rPr>
            </w:pPr>
            <w:r w:rsidRPr="008548E7">
              <w:rPr>
                <w:sz w:val="20"/>
                <w:szCs w:val="20"/>
              </w:rPr>
              <w:t xml:space="preserve">In- house </w:t>
            </w:r>
          </w:p>
        </w:tc>
        <w:tc>
          <w:tcPr>
            <w:tcW w:w="1417" w:type="dxa"/>
          </w:tcPr>
          <w:p w:rsidR="0004627C" w:rsidRPr="008548E7" w:rsidRDefault="0004627C" w:rsidP="004044E4">
            <w:pPr>
              <w:spacing w:after="0" w:line="240" w:lineRule="auto"/>
              <w:rPr>
                <w:sz w:val="20"/>
                <w:szCs w:val="20"/>
              </w:rPr>
            </w:pPr>
            <w:r>
              <w:rPr>
                <w:sz w:val="20"/>
                <w:szCs w:val="20"/>
              </w:rPr>
              <w:t>Nov 2014</w:t>
            </w:r>
          </w:p>
        </w:tc>
      </w:tr>
      <w:tr w:rsidR="0004627C" w:rsidRPr="008548E7" w:rsidTr="00231957">
        <w:trPr>
          <w:tblHeader/>
        </w:trPr>
        <w:tc>
          <w:tcPr>
            <w:tcW w:w="1668" w:type="dxa"/>
            <w:vMerge/>
          </w:tcPr>
          <w:p w:rsidR="0004627C" w:rsidRPr="008548E7" w:rsidRDefault="0004627C" w:rsidP="004044E4">
            <w:pPr>
              <w:spacing w:after="0" w:line="240" w:lineRule="auto"/>
              <w:rPr>
                <w:sz w:val="20"/>
                <w:szCs w:val="20"/>
              </w:rPr>
            </w:pPr>
          </w:p>
        </w:tc>
        <w:tc>
          <w:tcPr>
            <w:tcW w:w="1842" w:type="dxa"/>
          </w:tcPr>
          <w:p w:rsidR="0004627C" w:rsidRPr="008548E7" w:rsidRDefault="0004627C" w:rsidP="004044E4">
            <w:pPr>
              <w:spacing w:after="0" w:line="240" w:lineRule="auto"/>
              <w:rPr>
                <w:sz w:val="20"/>
                <w:szCs w:val="20"/>
              </w:rPr>
            </w:pPr>
            <w:r>
              <w:rPr>
                <w:sz w:val="20"/>
                <w:szCs w:val="20"/>
              </w:rPr>
              <w:t>September 2013</w:t>
            </w:r>
          </w:p>
        </w:tc>
        <w:tc>
          <w:tcPr>
            <w:tcW w:w="5245" w:type="dxa"/>
          </w:tcPr>
          <w:p w:rsidR="0004627C" w:rsidRPr="008548E7" w:rsidRDefault="0004627C" w:rsidP="004044E4">
            <w:pPr>
              <w:spacing w:after="0" w:line="240" w:lineRule="auto"/>
              <w:rPr>
                <w:sz w:val="20"/>
                <w:szCs w:val="20"/>
              </w:rPr>
            </w:pPr>
            <w:r>
              <w:rPr>
                <w:sz w:val="20"/>
                <w:szCs w:val="20"/>
              </w:rPr>
              <w:t>Review of the Scheme of Financial Delegation</w:t>
            </w:r>
          </w:p>
        </w:tc>
        <w:tc>
          <w:tcPr>
            <w:tcW w:w="1276" w:type="dxa"/>
          </w:tcPr>
          <w:p w:rsidR="0004627C" w:rsidRPr="008548E7" w:rsidRDefault="0004627C" w:rsidP="004044E4">
            <w:pPr>
              <w:spacing w:after="0" w:line="240" w:lineRule="auto"/>
              <w:rPr>
                <w:sz w:val="20"/>
                <w:szCs w:val="20"/>
              </w:rPr>
            </w:pPr>
            <w:r>
              <w:rPr>
                <w:sz w:val="20"/>
                <w:szCs w:val="20"/>
              </w:rPr>
              <w:t>April 2014</w:t>
            </w:r>
          </w:p>
        </w:tc>
        <w:tc>
          <w:tcPr>
            <w:tcW w:w="1276" w:type="dxa"/>
          </w:tcPr>
          <w:p w:rsidR="0004627C" w:rsidRPr="008548E7" w:rsidRDefault="0004627C" w:rsidP="004044E4">
            <w:pPr>
              <w:spacing w:after="0" w:line="240" w:lineRule="auto"/>
              <w:rPr>
                <w:sz w:val="20"/>
                <w:szCs w:val="20"/>
              </w:rPr>
            </w:pPr>
            <w:r>
              <w:rPr>
                <w:sz w:val="20"/>
                <w:szCs w:val="20"/>
              </w:rPr>
              <w:t>2</w:t>
            </w:r>
          </w:p>
          <w:p w:rsidR="0004627C" w:rsidRPr="008548E7" w:rsidRDefault="0004627C" w:rsidP="004044E4">
            <w:pPr>
              <w:spacing w:after="0" w:line="240" w:lineRule="auto"/>
              <w:rPr>
                <w:sz w:val="20"/>
                <w:szCs w:val="20"/>
              </w:rPr>
            </w:pPr>
          </w:p>
        </w:tc>
        <w:tc>
          <w:tcPr>
            <w:tcW w:w="992" w:type="dxa"/>
          </w:tcPr>
          <w:p w:rsidR="0004627C" w:rsidRPr="008548E7" w:rsidRDefault="0004627C" w:rsidP="004044E4">
            <w:pPr>
              <w:spacing w:after="0" w:line="240" w:lineRule="auto"/>
              <w:rPr>
                <w:sz w:val="20"/>
                <w:szCs w:val="20"/>
              </w:rPr>
            </w:pPr>
            <w:r w:rsidRPr="008548E7">
              <w:rPr>
                <w:sz w:val="20"/>
                <w:szCs w:val="20"/>
              </w:rPr>
              <w:t>Limited</w:t>
            </w:r>
          </w:p>
        </w:tc>
        <w:tc>
          <w:tcPr>
            <w:tcW w:w="1276" w:type="dxa"/>
          </w:tcPr>
          <w:p w:rsidR="0004627C" w:rsidRPr="008548E7" w:rsidRDefault="0004627C" w:rsidP="004044E4">
            <w:pPr>
              <w:spacing w:after="0" w:line="240" w:lineRule="auto"/>
              <w:rPr>
                <w:sz w:val="20"/>
                <w:szCs w:val="20"/>
              </w:rPr>
            </w:pPr>
            <w:r w:rsidRPr="008548E7">
              <w:rPr>
                <w:sz w:val="20"/>
                <w:szCs w:val="20"/>
              </w:rPr>
              <w:t>In-house</w:t>
            </w:r>
          </w:p>
        </w:tc>
        <w:tc>
          <w:tcPr>
            <w:tcW w:w="1417" w:type="dxa"/>
          </w:tcPr>
          <w:p w:rsidR="0004627C" w:rsidRPr="008548E7" w:rsidRDefault="0004627C" w:rsidP="004044E4">
            <w:pPr>
              <w:spacing w:after="0" w:line="240" w:lineRule="auto"/>
              <w:rPr>
                <w:sz w:val="20"/>
                <w:szCs w:val="20"/>
              </w:rPr>
            </w:pPr>
            <w:r>
              <w:rPr>
                <w:sz w:val="20"/>
                <w:szCs w:val="20"/>
              </w:rPr>
              <w:t>June 2015</w:t>
            </w:r>
          </w:p>
        </w:tc>
      </w:tr>
      <w:tr w:rsidR="0004627C" w:rsidRPr="008548E7" w:rsidTr="00231957">
        <w:trPr>
          <w:tblHeader/>
        </w:trPr>
        <w:tc>
          <w:tcPr>
            <w:tcW w:w="1668" w:type="dxa"/>
            <w:vMerge/>
          </w:tcPr>
          <w:p w:rsidR="0004627C" w:rsidRPr="008548E7" w:rsidRDefault="0004627C" w:rsidP="004044E4">
            <w:pPr>
              <w:spacing w:after="0" w:line="240" w:lineRule="auto"/>
              <w:rPr>
                <w:sz w:val="20"/>
                <w:szCs w:val="20"/>
              </w:rPr>
            </w:pPr>
          </w:p>
        </w:tc>
        <w:tc>
          <w:tcPr>
            <w:tcW w:w="1842" w:type="dxa"/>
          </w:tcPr>
          <w:p w:rsidR="0004627C" w:rsidRPr="008548E7" w:rsidRDefault="0004627C" w:rsidP="004044E4">
            <w:pPr>
              <w:spacing w:after="0" w:line="240" w:lineRule="auto"/>
              <w:rPr>
                <w:sz w:val="20"/>
                <w:szCs w:val="20"/>
              </w:rPr>
            </w:pPr>
            <w:r>
              <w:rPr>
                <w:sz w:val="20"/>
                <w:szCs w:val="20"/>
              </w:rPr>
              <w:t>June 2013</w:t>
            </w:r>
          </w:p>
        </w:tc>
        <w:tc>
          <w:tcPr>
            <w:tcW w:w="5245" w:type="dxa"/>
          </w:tcPr>
          <w:p w:rsidR="0004627C" w:rsidRPr="008548E7" w:rsidRDefault="0004627C" w:rsidP="004044E4">
            <w:pPr>
              <w:spacing w:after="0" w:line="240" w:lineRule="auto"/>
              <w:rPr>
                <w:sz w:val="20"/>
                <w:szCs w:val="20"/>
              </w:rPr>
            </w:pPr>
            <w:r>
              <w:rPr>
                <w:sz w:val="20"/>
                <w:szCs w:val="20"/>
              </w:rPr>
              <w:t>National Assembly for Wales Shop</w:t>
            </w:r>
          </w:p>
        </w:tc>
        <w:tc>
          <w:tcPr>
            <w:tcW w:w="1276" w:type="dxa"/>
          </w:tcPr>
          <w:p w:rsidR="0004627C" w:rsidRPr="008548E7" w:rsidRDefault="0004627C" w:rsidP="004044E4">
            <w:pPr>
              <w:spacing w:after="0" w:line="240" w:lineRule="auto"/>
              <w:rPr>
                <w:sz w:val="20"/>
                <w:szCs w:val="20"/>
              </w:rPr>
            </w:pPr>
            <w:r>
              <w:rPr>
                <w:sz w:val="20"/>
                <w:szCs w:val="20"/>
              </w:rPr>
              <w:t>May 2014</w:t>
            </w:r>
          </w:p>
        </w:tc>
        <w:tc>
          <w:tcPr>
            <w:tcW w:w="1276" w:type="dxa"/>
          </w:tcPr>
          <w:p w:rsidR="0004627C" w:rsidRPr="008548E7" w:rsidRDefault="0004627C" w:rsidP="004044E4">
            <w:pPr>
              <w:spacing w:after="0" w:line="240" w:lineRule="auto"/>
              <w:rPr>
                <w:sz w:val="20"/>
                <w:szCs w:val="20"/>
              </w:rPr>
            </w:pPr>
            <w:r w:rsidRPr="008548E7">
              <w:rPr>
                <w:sz w:val="20"/>
                <w:szCs w:val="20"/>
              </w:rPr>
              <w:t>1</w:t>
            </w:r>
          </w:p>
        </w:tc>
        <w:tc>
          <w:tcPr>
            <w:tcW w:w="992" w:type="dxa"/>
          </w:tcPr>
          <w:p w:rsidR="0004627C" w:rsidRPr="008548E7" w:rsidRDefault="0004627C" w:rsidP="004044E4">
            <w:pPr>
              <w:spacing w:after="0" w:line="240" w:lineRule="auto"/>
              <w:rPr>
                <w:sz w:val="20"/>
                <w:szCs w:val="20"/>
              </w:rPr>
            </w:pPr>
            <w:r w:rsidRPr="008548E7">
              <w:rPr>
                <w:sz w:val="20"/>
                <w:szCs w:val="20"/>
              </w:rPr>
              <w:t>Limited</w:t>
            </w:r>
          </w:p>
        </w:tc>
        <w:tc>
          <w:tcPr>
            <w:tcW w:w="1276" w:type="dxa"/>
          </w:tcPr>
          <w:p w:rsidR="0004627C" w:rsidRPr="008548E7" w:rsidRDefault="0004627C" w:rsidP="004044E4">
            <w:pPr>
              <w:spacing w:after="0" w:line="240" w:lineRule="auto"/>
              <w:rPr>
                <w:sz w:val="20"/>
                <w:szCs w:val="20"/>
              </w:rPr>
            </w:pPr>
            <w:r w:rsidRPr="008548E7">
              <w:rPr>
                <w:sz w:val="20"/>
                <w:szCs w:val="20"/>
              </w:rPr>
              <w:t>In-house</w:t>
            </w:r>
          </w:p>
        </w:tc>
        <w:tc>
          <w:tcPr>
            <w:tcW w:w="1417" w:type="dxa"/>
          </w:tcPr>
          <w:p w:rsidR="0004627C" w:rsidRPr="008548E7" w:rsidRDefault="0004627C" w:rsidP="004044E4">
            <w:pPr>
              <w:spacing w:after="0" w:line="240" w:lineRule="auto"/>
              <w:rPr>
                <w:sz w:val="20"/>
                <w:szCs w:val="20"/>
              </w:rPr>
            </w:pPr>
            <w:r w:rsidRPr="008548E7">
              <w:rPr>
                <w:sz w:val="20"/>
                <w:szCs w:val="20"/>
              </w:rPr>
              <w:t xml:space="preserve">Nov </w:t>
            </w:r>
            <w:r>
              <w:rPr>
                <w:sz w:val="20"/>
                <w:szCs w:val="20"/>
              </w:rPr>
              <w:t>2014</w:t>
            </w:r>
          </w:p>
        </w:tc>
      </w:tr>
      <w:tr w:rsidR="0004627C" w:rsidRPr="008548E7" w:rsidTr="00231957">
        <w:trPr>
          <w:tblHeader/>
        </w:trPr>
        <w:tc>
          <w:tcPr>
            <w:tcW w:w="1668" w:type="dxa"/>
            <w:vMerge/>
          </w:tcPr>
          <w:p w:rsidR="0004627C" w:rsidRPr="008548E7" w:rsidRDefault="0004627C" w:rsidP="004044E4">
            <w:pPr>
              <w:spacing w:after="0" w:line="240" w:lineRule="auto"/>
              <w:rPr>
                <w:sz w:val="20"/>
                <w:szCs w:val="20"/>
              </w:rPr>
            </w:pPr>
          </w:p>
        </w:tc>
        <w:tc>
          <w:tcPr>
            <w:tcW w:w="1842" w:type="dxa"/>
          </w:tcPr>
          <w:p w:rsidR="0004627C" w:rsidRPr="008548E7" w:rsidRDefault="0004627C" w:rsidP="004044E4">
            <w:pPr>
              <w:spacing w:after="0" w:line="240" w:lineRule="auto"/>
              <w:rPr>
                <w:sz w:val="20"/>
                <w:szCs w:val="20"/>
              </w:rPr>
            </w:pPr>
            <w:r>
              <w:rPr>
                <w:sz w:val="20"/>
                <w:szCs w:val="20"/>
              </w:rPr>
              <w:t>September 2013</w:t>
            </w:r>
          </w:p>
        </w:tc>
        <w:tc>
          <w:tcPr>
            <w:tcW w:w="5245" w:type="dxa"/>
          </w:tcPr>
          <w:p w:rsidR="0004627C" w:rsidRPr="008548E7" w:rsidRDefault="0004627C" w:rsidP="004044E4">
            <w:pPr>
              <w:spacing w:after="0" w:line="240" w:lineRule="auto"/>
              <w:rPr>
                <w:sz w:val="20"/>
                <w:szCs w:val="20"/>
              </w:rPr>
            </w:pPr>
            <w:r>
              <w:rPr>
                <w:sz w:val="20"/>
                <w:szCs w:val="20"/>
              </w:rPr>
              <w:t>Performance and Appraisal System</w:t>
            </w:r>
          </w:p>
        </w:tc>
        <w:tc>
          <w:tcPr>
            <w:tcW w:w="1276" w:type="dxa"/>
          </w:tcPr>
          <w:p w:rsidR="0004627C" w:rsidRPr="008548E7" w:rsidRDefault="0004627C" w:rsidP="004044E4">
            <w:pPr>
              <w:spacing w:after="0" w:line="240" w:lineRule="auto"/>
              <w:rPr>
                <w:sz w:val="20"/>
                <w:szCs w:val="20"/>
              </w:rPr>
            </w:pPr>
            <w:r>
              <w:rPr>
                <w:sz w:val="20"/>
                <w:szCs w:val="20"/>
              </w:rPr>
              <w:t>Jan 2015</w:t>
            </w:r>
          </w:p>
        </w:tc>
        <w:tc>
          <w:tcPr>
            <w:tcW w:w="1276" w:type="dxa"/>
          </w:tcPr>
          <w:p w:rsidR="0004627C" w:rsidRPr="008548E7" w:rsidRDefault="0004627C" w:rsidP="004044E4">
            <w:pPr>
              <w:spacing w:after="0" w:line="240" w:lineRule="auto"/>
              <w:rPr>
                <w:sz w:val="20"/>
                <w:szCs w:val="20"/>
              </w:rPr>
            </w:pPr>
            <w:r w:rsidRPr="008548E7">
              <w:rPr>
                <w:sz w:val="20"/>
                <w:szCs w:val="20"/>
              </w:rPr>
              <w:t>3</w:t>
            </w:r>
          </w:p>
        </w:tc>
        <w:tc>
          <w:tcPr>
            <w:tcW w:w="992" w:type="dxa"/>
          </w:tcPr>
          <w:p w:rsidR="0004627C" w:rsidRPr="008548E7" w:rsidRDefault="0004627C" w:rsidP="004044E4">
            <w:pPr>
              <w:spacing w:after="0" w:line="240" w:lineRule="auto"/>
              <w:rPr>
                <w:sz w:val="20"/>
                <w:szCs w:val="20"/>
              </w:rPr>
            </w:pPr>
            <w:r w:rsidRPr="008548E7">
              <w:rPr>
                <w:sz w:val="20"/>
                <w:szCs w:val="20"/>
              </w:rPr>
              <w:t xml:space="preserve">Limited </w:t>
            </w:r>
          </w:p>
        </w:tc>
        <w:tc>
          <w:tcPr>
            <w:tcW w:w="1276" w:type="dxa"/>
          </w:tcPr>
          <w:p w:rsidR="0004627C" w:rsidRPr="008548E7" w:rsidRDefault="0004627C" w:rsidP="004044E4">
            <w:pPr>
              <w:spacing w:after="0" w:line="240" w:lineRule="auto"/>
              <w:rPr>
                <w:sz w:val="20"/>
                <w:szCs w:val="20"/>
              </w:rPr>
            </w:pPr>
            <w:r w:rsidRPr="008548E7">
              <w:rPr>
                <w:sz w:val="20"/>
                <w:szCs w:val="20"/>
              </w:rPr>
              <w:t>In-house</w:t>
            </w:r>
          </w:p>
        </w:tc>
        <w:tc>
          <w:tcPr>
            <w:tcW w:w="1417" w:type="dxa"/>
          </w:tcPr>
          <w:p w:rsidR="0004627C" w:rsidRPr="008548E7" w:rsidRDefault="0004627C" w:rsidP="004044E4">
            <w:pPr>
              <w:spacing w:after="0" w:line="240" w:lineRule="auto"/>
              <w:rPr>
                <w:sz w:val="20"/>
                <w:szCs w:val="20"/>
              </w:rPr>
            </w:pPr>
            <w:r>
              <w:rPr>
                <w:sz w:val="20"/>
                <w:szCs w:val="20"/>
              </w:rPr>
              <w:t>Feb 2015</w:t>
            </w:r>
          </w:p>
        </w:tc>
      </w:tr>
      <w:tr w:rsidR="0004627C" w:rsidTr="00231957">
        <w:trPr>
          <w:tblHeader/>
        </w:trPr>
        <w:tc>
          <w:tcPr>
            <w:tcW w:w="1668" w:type="dxa"/>
            <w:vMerge/>
          </w:tcPr>
          <w:p w:rsidR="0004627C" w:rsidRPr="008548E7" w:rsidRDefault="0004627C" w:rsidP="004044E4">
            <w:pPr>
              <w:spacing w:after="0" w:line="240" w:lineRule="auto"/>
              <w:rPr>
                <w:sz w:val="20"/>
                <w:szCs w:val="20"/>
              </w:rPr>
            </w:pPr>
          </w:p>
        </w:tc>
        <w:tc>
          <w:tcPr>
            <w:tcW w:w="1842" w:type="dxa"/>
          </w:tcPr>
          <w:p w:rsidR="0004627C" w:rsidRDefault="0004627C" w:rsidP="004044E4">
            <w:pPr>
              <w:spacing w:after="0" w:line="240" w:lineRule="auto"/>
              <w:rPr>
                <w:sz w:val="20"/>
                <w:szCs w:val="20"/>
              </w:rPr>
            </w:pPr>
            <w:r>
              <w:rPr>
                <w:sz w:val="20"/>
                <w:szCs w:val="20"/>
              </w:rPr>
              <w:t>December 2013</w:t>
            </w:r>
          </w:p>
        </w:tc>
        <w:tc>
          <w:tcPr>
            <w:tcW w:w="5245" w:type="dxa"/>
          </w:tcPr>
          <w:p w:rsidR="0004627C" w:rsidRDefault="0004627C" w:rsidP="004044E4">
            <w:pPr>
              <w:spacing w:after="0" w:line="240" w:lineRule="auto"/>
              <w:rPr>
                <w:sz w:val="20"/>
                <w:szCs w:val="20"/>
              </w:rPr>
            </w:pPr>
            <w:r>
              <w:rPr>
                <w:sz w:val="20"/>
                <w:szCs w:val="20"/>
              </w:rPr>
              <w:t>Facilities Management Contract</w:t>
            </w:r>
          </w:p>
        </w:tc>
        <w:tc>
          <w:tcPr>
            <w:tcW w:w="1276" w:type="dxa"/>
          </w:tcPr>
          <w:p w:rsidR="0004627C" w:rsidRPr="008548E7" w:rsidRDefault="0004627C" w:rsidP="004044E4">
            <w:pPr>
              <w:spacing w:after="0" w:line="240" w:lineRule="auto"/>
              <w:rPr>
                <w:sz w:val="20"/>
                <w:szCs w:val="20"/>
              </w:rPr>
            </w:pPr>
            <w:r>
              <w:rPr>
                <w:sz w:val="20"/>
                <w:szCs w:val="20"/>
              </w:rPr>
              <w:t>Nov 2014</w:t>
            </w:r>
          </w:p>
        </w:tc>
        <w:tc>
          <w:tcPr>
            <w:tcW w:w="1276" w:type="dxa"/>
          </w:tcPr>
          <w:p w:rsidR="0004627C" w:rsidRPr="008548E7" w:rsidRDefault="0004627C" w:rsidP="004044E4">
            <w:pPr>
              <w:spacing w:after="0" w:line="240" w:lineRule="auto"/>
              <w:rPr>
                <w:sz w:val="20"/>
                <w:szCs w:val="20"/>
              </w:rPr>
            </w:pPr>
            <w:r>
              <w:rPr>
                <w:sz w:val="20"/>
                <w:szCs w:val="20"/>
              </w:rPr>
              <w:t>2</w:t>
            </w:r>
          </w:p>
        </w:tc>
        <w:tc>
          <w:tcPr>
            <w:tcW w:w="992" w:type="dxa"/>
          </w:tcPr>
          <w:p w:rsidR="0004627C" w:rsidRPr="008548E7" w:rsidRDefault="0004627C" w:rsidP="004044E4">
            <w:pPr>
              <w:spacing w:after="0" w:line="240" w:lineRule="auto"/>
              <w:rPr>
                <w:sz w:val="20"/>
                <w:szCs w:val="20"/>
              </w:rPr>
            </w:pPr>
            <w:r>
              <w:rPr>
                <w:sz w:val="20"/>
                <w:szCs w:val="20"/>
              </w:rPr>
              <w:t>Limited</w:t>
            </w:r>
          </w:p>
        </w:tc>
        <w:tc>
          <w:tcPr>
            <w:tcW w:w="1276" w:type="dxa"/>
          </w:tcPr>
          <w:p w:rsidR="0004627C" w:rsidRPr="008548E7" w:rsidRDefault="0004627C" w:rsidP="004044E4">
            <w:pPr>
              <w:spacing w:after="0" w:line="240" w:lineRule="auto"/>
              <w:rPr>
                <w:sz w:val="20"/>
                <w:szCs w:val="20"/>
              </w:rPr>
            </w:pPr>
            <w:r>
              <w:rPr>
                <w:sz w:val="20"/>
                <w:szCs w:val="20"/>
              </w:rPr>
              <w:t>In-house</w:t>
            </w:r>
          </w:p>
        </w:tc>
        <w:tc>
          <w:tcPr>
            <w:tcW w:w="1417" w:type="dxa"/>
          </w:tcPr>
          <w:p w:rsidR="0004627C" w:rsidRDefault="0004627C" w:rsidP="004044E4">
            <w:pPr>
              <w:spacing w:after="0" w:line="240" w:lineRule="auto"/>
              <w:rPr>
                <w:sz w:val="20"/>
                <w:szCs w:val="20"/>
              </w:rPr>
            </w:pPr>
            <w:r>
              <w:rPr>
                <w:sz w:val="20"/>
                <w:szCs w:val="20"/>
              </w:rPr>
              <w:t>Feb 2015</w:t>
            </w:r>
          </w:p>
        </w:tc>
      </w:tr>
      <w:tr w:rsidR="0004627C" w:rsidRPr="008548E7" w:rsidTr="00231957">
        <w:trPr>
          <w:tblHeader/>
        </w:trPr>
        <w:tc>
          <w:tcPr>
            <w:tcW w:w="1668" w:type="dxa"/>
            <w:vMerge/>
          </w:tcPr>
          <w:p w:rsidR="0004627C" w:rsidRPr="008548E7" w:rsidRDefault="0004627C" w:rsidP="004044E4">
            <w:pPr>
              <w:spacing w:after="0" w:line="240" w:lineRule="auto"/>
              <w:rPr>
                <w:sz w:val="20"/>
                <w:szCs w:val="20"/>
              </w:rPr>
            </w:pPr>
          </w:p>
        </w:tc>
        <w:tc>
          <w:tcPr>
            <w:tcW w:w="1842" w:type="dxa"/>
          </w:tcPr>
          <w:p w:rsidR="0004627C" w:rsidRPr="008548E7" w:rsidRDefault="0004627C" w:rsidP="004044E4">
            <w:pPr>
              <w:spacing w:after="0" w:line="240" w:lineRule="auto"/>
              <w:rPr>
                <w:sz w:val="20"/>
                <w:szCs w:val="20"/>
              </w:rPr>
            </w:pPr>
            <w:r>
              <w:rPr>
                <w:sz w:val="20"/>
                <w:szCs w:val="20"/>
              </w:rPr>
              <w:t>June/July 2014</w:t>
            </w:r>
          </w:p>
        </w:tc>
        <w:tc>
          <w:tcPr>
            <w:tcW w:w="5245" w:type="dxa"/>
          </w:tcPr>
          <w:p w:rsidR="0004627C" w:rsidRDefault="0004627C" w:rsidP="004044E4">
            <w:pPr>
              <w:spacing w:after="0" w:line="240" w:lineRule="auto"/>
              <w:rPr>
                <w:sz w:val="20"/>
                <w:szCs w:val="20"/>
              </w:rPr>
            </w:pPr>
            <w:r>
              <w:rPr>
                <w:sz w:val="20"/>
                <w:szCs w:val="20"/>
              </w:rPr>
              <w:t>Recruitment Procedures</w:t>
            </w:r>
          </w:p>
        </w:tc>
        <w:tc>
          <w:tcPr>
            <w:tcW w:w="1276" w:type="dxa"/>
          </w:tcPr>
          <w:p w:rsidR="0004627C" w:rsidRPr="008548E7" w:rsidRDefault="0004627C" w:rsidP="004044E4">
            <w:pPr>
              <w:spacing w:after="0" w:line="240" w:lineRule="auto"/>
              <w:rPr>
                <w:sz w:val="20"/>
                <w:szCs w:val="20"/>
              </w:rPr>
            </w:pPr>
            <w:r>
              <w:rPr>
                <w:sz w:val="20"/>
                <w:szCs w:val="20"/>
              </w:rPr>
              <w:t>Feb 2015</w:t>
            </w:r>
          </w:p>
        </w:tc>
        <w:tc>
          <w:tcPr>
            <w:tcW w:w="1276" w:type="dxa"/>
          </w:tcPr>
          <w:p w:rsidR="0004627C" w:rsidRPr="008548E7" w:rsidRDefault="0004627C" w:rsidP="004044E4">
            <w:pPr>
              <w:spacing w:after="0" w:line="240" w:lineRule="auto"/>
              <w:rPr>
                <w:sz w:val="20"/>
                <w:szCs w:val="20"/>
              </w:rPr>
            </w:pPr>
            <w:r>
              <w:rPr>
                <w:sz w:val="20"/>
                <w:szCs w:val="20"/>
              </w:rPr>
              <w:t>2</w:t>
            </w:r>
          </w:p>
        </w:tc>
        <w:tc>
          <w:tcPr>
            <w:tcW w:w="992" w:type="dxa"/>
          </w:tcPr>
          <w:p w:rsidR="0004627C" w:rsidRPr="008548E7" w:rsidRDefault="0004627C" w:rsidP="004044E4">
            <w:pPr>
              <w:spacing w:after="0" w:line="240" w:lineRule="auto"/>
              <w:rPr>
                <w:sz w:val="20"/>
                <w:szCs w:val="20"/>
              </w:rPr>
            </w:pPr>
            <w:r>
              <w:rPr>
                <w:sz w:val="20"/>
                <w:szCs w:val="20"/>
              </w:rPr>
              <w:t>Limited</w:t>
            </w:r>
          </w:p>
        </w:tc>
        <w:tc>
          <w:tcPr>
            <w:tcW w:w="1276" w:type="dxa"/>
          </w:tcPr>
          <w:p w:rsidR="0004627C" w:rsidRPr="008548E7" w:rsidRDefault="0004627C" w:rsidP="004044E4">
            <w:pPr>
              <w:spacing w:after="0" w:line="240" w:lineRule="auto"/>
              <w:rPr>
                <w:sz w:val="20"/>
                <w:szCs w:val="20"/>
              </w:rPr>
            </w:pPr>
            <w:r>
              <w:rPr>
                <w:sz w:val="20"/>
                <w:szCs w:val="20"/>
              </w:rPr>
              <w:t>In-house</w:t>
            </w:r>
          </w:p>
        </w:tc>
        <w:tc>
          <w:tcPr>
            <w:tcW w:w="1417" w:type="dxa"/>
          </w:tcPr>
          <w:p w:rsidR="0004627C" w:rsidRPr="008548E7" w:rsidRDefault="0004627C" w:rsidP="004044E4">
            <w:pPr>
              <w:spacing w:after="0" w:line="240" w:lineRule="auto"/>
              <w:rPr>
                <w:sz w:val="20"/>
                <w:szCs w:val="20"/>
              </w:rPr>
            </w:pPr>
            <w:r>
              <w:rPr>
                <w:sz w:val="20"/>
                <w:szCs w:val="20"/>
              </w:rPr>
              <w:t>April 2015</w:t>
            </w:r>
          </w:p>
        </w:tc>
      </w:tr>
      <w:tr w:rsidR="0004627C" w:rsidTr="00231957">
        <w:trPr>
          <w:tblHeader/>
        </w:trPr>
        <w:tc>
          <w:tcPr>
            <w:tcW w:w="1668" w:type="dxa"/>
            <w:vMerge/>
          </w:tcPr>
          <w:p w:rsidR="0004627C" w:rsidRPr="008548E7" w:rsidRDefault="0004627C" w:rsidP="004044E4">
            <w:pPr>
              <w:spacing w:after="0" w:line="240" w:lineRule="auto"/>
              <w:rPr>
                <w:sz w:val="20"/>
                <w:szCs w:val="20"/>
              </w:rPr>
            </w:pPr>
          </w:p>
        </w:tc>
        <w:tc>
          <w:tcPr>
            <w:tcW w:w="1842" w:type="dxa"/>
          </w:tcPr>
          <w:p w:rsidR="0004627C" w:rsidRDefault="0004627C" w:rsidP="004044E4">
            <w:pPr>
              <w:spacing w:after="0" w:line="240" w:lineRule="auto"/>
              <w:rPr>
                <w:sz w:val="20"/>
                <w:szCs w:val="20"/>
              </w:rPr>
            </w:pPr>
            <w:r>
              <w:rPr>
                <w:sz w:val="20"/>
                <w:szCs w:val="20"/>
              </w:rPr>
              <w:t>September 2013</w:t>
            </w:r>
          </w:p>
        </w:tc>
        <w:tc>
          <w:tcPr>
            <w:tcW w:w="5245" w:type="dxa"/>
          </w:tcPr>
          <w:p w:rsidR="0004627C" w:rsidRDefault="0004627C" w:rsidP="004044E4">
            <w:pPr>
              <w:spacing w:after="0" w:line="240" w:lineRule="auto"/>
              <w:rPr>
                <w:sz w:val="20"/>
                <w:szCs w:val="20"/>
              </w:rPr>
            </w:pPr>
            <w:r>
              <w:rPr>
                <w:sz w:val="20"/>
                <w:szCs w:val="20"/>
              </w:rPr>
              <w:t>Assembly Business Management System</w:t>
            </w:r>
          </w:p>
        </w:tc>
        <w:tc>
          <w:tcPr>
            <w:tcW w:w="1276" w:type="dxa"/>
          </w:tcPr>
          <w:p w:rsidR="0004627C" w:rsidRDefault="0004627C" w:rsidP="004044E4">
            <w:pPr>
              <w:spacing w:after="0" w:line="240" w:lineRule="auto"/>
              <w:rPr>
                <w:sz w:val="20"/>
                <w:szCs w:val="20"/>
              </w:rPr>
            </w:pPr>
            <w:r>
              <w:rPr>
                <w:sz w:val="20"/>
                <w:szCs w:val="20"/>
              </w:rPr>
              <w:t>Sep 2014</w:t>
            </w:r>
          </w:p>
        </w:tc>
        <w:tc>
          <w:tcPr>
            <w:tcW w:w="1276" w:type="dxa"/>
          </w:tcPr>
          <w:p w:rsidR="0004627C" w:rsidRDefault="0004627C" w:rsidP="004044E4">
            <w:pPr>
              <w:spacing w:after="0" w:line="240" w:lineRule="auto"/>
              <w:rPr>
                <w:sz w:val="20"/>
                <w:szCs w:val="20"/>
              </w:rPr>
            </w:pPr>
            <w:r>
              <w:rPr>
                <w:sz w:val="20"/>
                <w:szCs w:val="20"/>
              </w:rPr>
              <w:t>3</w:t>
            </w:r>
          </w:p>
        </w:tc>
        <w:tc>
          <w:tcPr>
            <w:tcW w:w="992" w:type="dxa"/>
          </w:tcPr>
          <w:p w:rsidR="0004627C" w:rsidRDefault="0004627C" w:rsidP="004044E4">
            <w:pPr>
              <w:spacing w:after="0" w:line="240" w:lineRule="auto"/>
              <w:rPr>
                <w:sz w:val="20"/>
                <w:szCs w:val="20"/>
              </w:rPr>
            </w:pPr>
            <w:r>
              <w:rPr>
                <w:sz w:val="20"/>
                <w:szCs w:val="20"/>
              </w:rPr>
              <w:t>Limited</w:t>
            </w:r>
          </w:p>
        </w:tc>
        <w:tc>
          <w:tcPr>
            <w:tcW w:w="1276" w:type="dxa"/>
          </w:tcPr>
          <w:p w:rsidR="0004627C" w:rsidRDefault="0004627C" w:rsidP="004044E4">
            <w:pPr>
              <w:spacing w:after="0" w:line="240" w:lineRule="auto"/>
              <w:rPr>
                <w:sz w:val="20"/>
                <w:szCs w:val="20"/>
              </w:rPr>
            </w:pPr>
            <w:r>
              <w:rPr>
                <w:sz w:val="20"/>
                <w:szCs w:val="20"/>
              </w:rPr>
              <w:t>In-house</w:t>
            </w:r>
          </w:p>
        </w:tc>
        <w:tc>
          <w:tcPr>
            <w:tcW w:w="1417" w:type="dxa"/>
          </w:tcPr>
          <w:p w:rsidR="0004627C" w:rsidRDefault="0004627C" w:rsidP="004044E4">
            <w:pPr>
              <w:spacing w:after="0" w:line="240" w:lineRule="auto"/>
              <w:rPr>
                <w:sz w:val="20"/>
                <w:szCs w:val="20"/>
              </w:rPr>
            </w:pPr>
            <w:r>
              <w:rPr>
                <w:sz w:val="20"/>
                <w:szCs w:val="20"/>
              </w:rPr>
              <w:t>Nov 2014</w:t>
            </w:r>
          </w:p>
        </w:tc>
      </w:tr>
    </w:tbl>
    <w:p w:rsidR="007F3B1A" w:rsidRDefault="007F3B1A"/>
    <w:p w:rsidR="007F3B1A" w:rsidRPr="002C04B8" w:rsidRDefault="007F3B1A" w:rsidP="002C04B8"/>
    <w:sectPr w:rsidR="007F3B1A" w:rsidRPr="002C04B8" w:rsidSect="0004627C">
      <w:headerReference w:type="default" r:id="rId12"/>
      <w:headerReference w:type="first" r:id="rId13"/>
      <w:pgSz w:w="16838" w:h="11906" w:orient="landscape"/>
      <w:pgMar w:top="141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B23" w:rsidRDefault="00345B23" w:rsidP="00062AFF">
      <w:pPr>
        <w:spacing w:after="0" w:line="240" w:lineRule="auto"/>
      </w:pPr>
      <w:r>
        <w:separator/>
      </w:r>
    </w:p>
  </w:endnote>
  <w:endnote w:type="continuationSeparator" w:id="0">
    <w:p w:rsidR="00345B23" w:rsidRDefault="00345B23" w:rsidP="00062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6"/>
      </w:rPr>
      <w:id w:val="-492025036"/>
      <w:docPartObj>
        <w:docPartGallery w:val="Page Numbers (Bottom of Page)"/>
        <w:docPartUnique/>
      </w:docPartObj>
    </w:sdtPr>
    <w:sdtEndPr>
      <w:rPr>
        <w:noProof/>
        <w:sz w:val="24"/>
      </w:rPr>
    </w:sdtEndPr>
    <w:sdtContent>
      <w:p w:rsidR="00345B23" w:rsidRPr="00273BFB" w:rsidRDefault="00345B23" w:rsidP="007E1815">
        <w:pPr>
          <w:pStyle w:val="Troedyn"/>
          <w:jc w:val="center"/>
        </w:pPr>
      </w:p>
      <w:p w:rsidR="002B4AE0" w:rsidRDefault="00345B23" w:rsidP="00231957">
        <w:pPr>
          <w:pStyle w:val="Troedyn"/>
          <w:jc w:val="center"/>
          <w:rPr>
            <w:noProof/>
          </w:rPr>
        </w:pPr>
        <w:r>
          <w:fldChar w:fldCharType="begin"/>
        </w:r>
        <w:r>
          <w:instrText xml:space="preserve"> PAGE   \* MERGEFORMAT </w:instrText>
        </w:r>
        <w:r>
          <w:fldChar w:fldCharType="separate"/>
        </w:r>
        <w:r w:rsidR="00183C9D">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4"/>
      </w:rPr>
      <w:id w:val="110019217"/>
      <w:docPartObj>
        <w:docPartGallery w:val="Page Numbers (Bottom of Page)"/>
        <w:docPartUnique/>
      </w:docPartObj>
    </w:sdtPr>
    <w:sdtEndPr>
      <w:rPr>
        <w:noProof/>
        <w:szCs w:val="22"/>
      </w:rPr>
    </w:sdtEndPr>
    <w:sdtContent>
      <w:p w:rsidR="00345B23" w:rsidRPr="00273BFB" w:rsidRDefault="00345B23" w:rsidP="007E1815">
        <w:pPr>
          <w:pStyle w:val="Troedyn"/>
          <w:jc w:val="center"/>
          <w:rPr>
            <w:szCs w:val="24"/>
          </w:rPr>
        </w:pPr>
      </w:p>
      <w:p w:rsidR="002B4AE0" w:rsidRDefault="00345B23" w:rsidP="00231957">
        <w:pPr>
          <w:pStyle w:val="Troedyn"/>
          <w:jc w:val="center"/>
          <w:rPr>
            <w:noProof/>
          </w:rPr>
        </w:pPr>
        <w:r>
          <w:fldChar w:fldCharType="begin"/>
        </w:r>
        <w:r>
          <w:instrText xml:space="preserve"> PAGE   \* MERGEFORMAT </w:instrText>
        </w:r>
        <w:r>
          <w:fldChar w:fldCharType="separate"/>
        </w:r>
        <w:r w:rsidR="00183C9D">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B23" w:rsidRDefault="00345B23" w:rsidP="00062AFF">
      <w:pPr>
        <w:spacing w:after="0" w:line="240" w:lineRule="auto"/>
      </w:pPr>
      <w:r>
        <w:separator/>
      </w:r>
    </w:p>
  </w:footnote>
  <w:footnote w:type="continuationSeparator" w:id="0">
    <w:p w:rsidR="00345B23" w:rsidRDefault="00345B23" w:rsidP="00062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BFB" w:rsidRPr="000E0A61" w:rsidRDefault="00231957" w:rsidP="00273BFB">
    <w:pPr>
      <w:pStyle w:val="Pennyn"/>
      <w:tabs>
        <w:tab w:val="right" w:pos="8312"/>
      </w:tabs>
      <w:spacing w:line="288" w:lineRule="auto"/>
      <w:ind w:left="-284"/>
      <w:rPr>
        <w:rFonts w:cs="Arial"/>
        <w:b/>
        <w:bCs/>
        <w:sz w:val="28"/>
        <w:szCs w:val="28"/>
      </w:rPr>
    </w:pPr>
    <w:r w:rsidRPr="000E0A61">
      <w:rPr>
        <w:noProof/>
        <w:sz w:val="28"/>
        <w:szCs w:val="28"/>
        <w:lang w:eastAsia="en-GB"/>
      </w:rPr>
      <w:drawing>
        <wp:anchor distT="0" distB="0" distL="114300" distR="114300" simplePos="0" relativeHeight="251661312" behindDoc="1" locked="0" layoutInCell="1" allowOverlap="1" wp14:anchorId="021E0E37" wp14:editId="5614104C">
          <wp:simplePos x="0" y="0"/>
          <wp:positionH relativeFrom="column">
            <wp:posOffset>5149850</wp:posOffset>
          </wp:positionH>
          <wp:positionV relativeFrom="paragraph">
            <wp:posOffset>60960</wp:posOffset>
          </wp:positionV>
          <wp:extent cx="1009650" cy="1438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438275"/>
                  </a:xfrm>
                  <a:prstGeom prst="rect">
                    <a:avLst/>
                  </a:prstGeom>
                  <a:noFill/>
                </pic:spPr>
              </pic:pic>
            </a:graphicData>
          </a:graphic>
          <wp14:sizeRelH relativeFrom="page">
            <wp14:pctWidth>0</wp14:pctWidth>
          </wp14:sizeRelH>
          <wp14:sizeRelV relativeFrom="page">
            <wp14:pctHeight>0</wp14:pctHeight>
          </wp14:sizeRelV>
        </wp:anchor>
      </w:drawing>
    </w:r>
    <w:r w:rsidR="00273BFB" w:rsidRPr="000E0A61">
      <w:rPr>
        <w:b/>
        <w:bCs/>
        <w:sz w:val="28"/>
        <w:szCs w:val="28"/>
      </w:rPr>
      <w:t>Pwyllgor Archwilio</w:t>
    </w:r>
    <w:r w:rsidR="00273BFB" w:rsidRPr="000E0A61">
      <w:rPr>
        <w:b/>
        <w:bCs/>
        <w:sz w:val="28"/>
        <w:szCs w:val="28"/>
        <w:lang w:val="en"/>
      </w:rPr>
      <w:t xml:space="preserve"> a </w:t>
    </w:r>
    <w:r w:rsidR="00273BFB">
      <w:rPr>
        <w:b/>
        <w:bCs/>
        <w:sz w:val="28"/>
        <w:szCs w:val="28"/>
        <w:lang w:val="en"/>
      </w:rPr>
      <w:t>Sicrwydd Risg</w:t>
    </w:r>
    <w:r w:rsidR="00273BFB" w:rsidRPr="000E0A61">
      <w:rPr>
        <w:b/>
        <w:bCs/>
        <w:sz w:val="28"/>
        <w:szCs w:val="28"/>
      </w:rPr>
      <w:t xml:space="preserve"> Comisiwn</w:t>
    </w:r>
    <w:r w:rsidR="00273BFB">
      <w:rPr>
        <w:b/>
        <w:bCs/>
        <w:sz w:val="28"/>
        <w:szCs w:val="28"/>
      </w:rPr>
      <w:t xml:space="preserve"> </w:t>
    </w:r>
    <w:r w:rsidR="00273BFB" w:rsidRPr="000E0A61">
      <w:rPr>
        <w:b/>
        <w:bCs/>
        <w:sz w:val="28"/>
        <w:szCs w:val="28"/>
      </w:rPr>
      <w:t>y Cynulliad</w:t>
    </w:r>
    <w:r w:rsidR="00273BFB" w:rsidRPr="000E0A61">
      <w:rPr>
        <w:rFonts w:cs="Arial"/>
        <w:b/>
        <w:bCs/>
        <w:sz w:val="28"/>
        <w:szCs w:val="28"/>
      </w:rPr>
      <w:t xml:space="preserve"> </w:t>
    </w:r>
  </w:p>
  <w:p w:rsidR="00273BFB" w:rsidRPr="000E0A61" w:rsidRDefault="00273BFB" w:rsidP="00273BFB">
    <w:pPr>
      <w:pStyle w:val="Pennyn"/>
      <w:spacing w:line="288" w:lineRule="auto"/>
      <w:ind w:left="-284"/>
      <w:rPr>
        <w:rFonts w:cs="Arial"/>
        <w:b/>
        <w:bCs/>
        <w:sz w:val="28"/>
        <w:szCs w:val="28"/>
      </w:rPr>
    </w:pPr>
    <w:r w:rsidRPr="000E0A61">
      <w:rPr>
        <w:rFonts w:cs="Arial"/>
        <w:b/>
        <w:bCs/>
        <w:sz w:val="28"/>
        <w:szCs w:val="28"/>
      </w:rPr>
      <w:t xml:space="preserve">Assembly Commission Audit &amp; Risk Assurance Committee </w:t>
    </w:r>
  </w:p>
  <w:p w:rsidR="00273BFB" w:rsidRPr="00273BFB" w:rsidRDefault="00273BFB" w:rsidP="00273BFB">
    <w:pPr>
      <w:rPr>
        <w:lang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23" w:rsidRPr="00231957" w:rsidRDefault="00345B23" w:rsidP="00231957">
    <w:pPr>
      <w:pStyle w:val="Pennyn"/>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BFB" w:rsidRPr="00273BFB" w:rsidRDefault="00273BFB" w:rsidP="00273BFB">
    <w:pPr>
      <w:pStyle w:val="MBpaperheading"/>
      <w:spacing w:after="0"/>
      <w:jc w:val="center"/>
      <w:rPr>
        <w:b w:val="0"/>
        <w:sz w:val="28"/>
      </w:rPr>
    </w:pPr>
    <w:r w:rsidRPr="00273BFB">
      <w:rPr>
        <w:b w:val="0"/>
        <w:sz w:val="28"/>
      </w:rPr>
      <w:t>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3A7"/>
    <w:multiLevelType w:val="hybridMultilevel"/>
    <w:tmpl w:val="71AE79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A251CB"/>
    <w:multiLevelType w:val="hybridMultilevel"/>
    <w:tmpl w:val="2DDCB5E8"/>
    <w:lvl w:ilvl="0" w:tplc="0809001B">
      <w:start w:val="1"/>
      <w:numFmt w:val="lowerRoman"/>
      <w:lvlText w:val="%1."/>
      <w:lvlJc w:val="right"/>
      <w:pPr>
        <w:ind w:left="1308" w:hanging="435"/>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2">
    <w:nsid w:val="242553EC"/>
    <w:multiLevelType w:val="hybridMultilevel"/>
    <w:tmpl w:val="7BA4E49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nsid w:val="2BE8278F"/>
    <w:multiLevelType w:val="hybridMultilevel"/>
    <w:tmpl w:val="4A38D60C"/>
    <w:lvl w:ilvl="0" w:tplc="2A8C82BE">
      <w:start w:val="1"/>
      <w:numFmt w:val="lowerLetter"/>
      <w:lvlText w:val="%1)"/>
      <w:lvlJc w:val="left"/>
      <w:pPr>
        <w:ind w:left="1308" w:hanging="435"/>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nsid w:val="2CEF076D"/>
    <w:multiLevelType w:val="hybridMultilevel"/>
    <w:tmpl w:val="8488D562"/>
    <w:lvl w:ilvl="0" w:tplc="08090017">
      <w:start w:val="1"/>
      <w:numFmt w:val="lowerLetter"/>
      <w:lvlText w:val="%1)"/>
      <w:lvlJc w:val="left"/>
      <w:pPr>
        <w:tabs>
          <w:tab w:val="num" w:pos="873"/>
        </w:tabs>
        <w:ind w:left="873" w:hanging="720"/>
      </w:pPr>
      <w:rPr>
        <w:rFonts w:hint="default"/>
      </w:rPr>
    </w:lvl>
    <w:lvl w:ilvl="1" w:tplc="08090019" w:tentative="1">
      <w:start w:val="1"/>
      <w:numFmt w:val="lowerLetter"/>
      <w:lvlText w:val="%2."/>
      <w:lvlJc w:val="left"/>
      <w:pPr>
        <w:tabs>
          <w:tab w:val="num" w:pos="1233"/>
        </w:tabs>
        <w:ind w:left="1233" w:hanging="360"/>
      </w:pPr>
    </w:lvl>
    <w:lvl w:ilvl="2" w:tplc="0809001B" w:tentative="1">
      <w:start w:val="1"/>
      <w:numFmt w:val="lowerRoman"/>
      <w:lvlText w:val="%3."/>
      <w:lvlJc w:val="right"/>
      <w:pPr>
        <w:tabs>
          <w:tab w:val="num" w:pos="1953"/>
        </w:tabs>
        <w:ind w:left="1953" w:hanging="180"/>
      </w:pPr>
    </w:lvl>
    <w:lvl w:ilvl="3" w:tplc="0809000F" w:tentative="1">
      <w:start w:val="1"/>
      <w:numFmt w:val="decimal"/>
      <w:lvlText w:val="%4."/>
      <w:lvlJc w:val="left"/>
      <w:pPr>
        <w:tabs>
          <w:tab w:val="num" w:pos="2673"/>
        </w:tabs>
        <w:ind w:left="2673" w:hanging="360"/>
      </w:pPr>
    </w:lvl>
    <w:lvl w:ilvl="4" w:tplc="08090019" w:tentative="1">
      <w:start w:val="1"/>
      <w:numFmt w:val="lowerLetter"/>
      <w:lvlText w:val="%5."/>
      <w:lvlJc w:val="left"/>
      <w:pPr>
        <w:tabs>
          <w:tab w:val="num" w:pos="3393"/>
        </w:tabs>
        <w:ind w:left="3393" w:hanging="360"/>
      </w:pPr>
    </w:lvl>
    <w:lvl w:ilvl="5" w:tplc="0809001B" w:tentative="1">
      <w:start w:val="1"/>
      <w:numFmt w:val="lowerRoman"/>
      <w:lvlText w:val="%6."/>
      <w:lvlJc w:val="right"/>
      <w:pPr>
        <w:tabs>
          <w:tab w:val="num" w:pos="4113"/>
        </w:tabs>
        <w:ind w:left="4113" w:hanging="180"/>
      </w:pPr>
    </w:lvl>
    <w:lvl w:ilvl="6" w:tplc="0809000F" w:tentative="1">
      <w:start w:val="1"/>
      <w:numFmt w:val="decimal"/>
      <w:lvlText w:val="%7."/>
      <w:lvlJc w:val="left"/>
      <w:pPr>
        <w:tabs>
          <w:tab w:val="num" w:pos="4833"/>
        </w:tabs>
        <w:ind w:left="4833" w:hanging="360"/>
      </w:pPr>
    </w:lvl>
    <w:lvl w:ilvl="7" w:tplc="08090019" w:tentative="1">
      <w:start w:val="1"/>
      <w:numFmt w:val="lowerLetter"/>
      <w:lvlText w:val="%8."/>
      <w:lvlJc w:val="left"/>
      <w:pPr>
        <w:tabs>
          <w:tab w:val="num" w:pos="5553"/>
        </w:tabs>
        <w:ind w:left="5553" w:hanging="360"/>
      </w:pPr>
    </w:lvl>
    <w:lvl w:ilvl="8" w:tplc="0809001B" w:tentative="1">
      <w:start w:val="1"/>
      <w:numFmt w:val="lowerRoman"/>
      <w:lvlText w:val="%9."/>
      <w:lvlJc w:val="right"/>
      <w:pPr>
        <w:tabs>
          <w:tab w:val="num" w:pos="6273"/>
        </w:tabs>
        <w:ind w:left="6273" w:hanging="180"/>
      </w:pPr>
    </w:lvl>
  </w:abstractNum>
  <w:abstractNum w:abstractNumId="5">
    <w:nsid w:val="30225174"/>
    <w:multiLevelType w:val="hybridMultilevel"/>
    <w:tmpl w:val="3976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23078F"/>
    <w:multiLevelType w:val="hybridMultilevel"/>
    <w:tmpl w:val="3FC26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7">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9C2B70"/>
    <w:multiLevelType w:val="multilevel"/>
    <w:tmpl w:val="6732414E"/>
    <w:lvl w:ilvl="0">
      <w:start w:val="1"/>
      <w:numFmt w:val="decimal"/>
      <w:pStyle w:val="MBlistparagraph"/>
      <w:lvlText w:val="%1.0"/>
      <w:lvlJc w:val="left"/>
      <w:pPr>
        <w:ind w:left="567" w:hanging="567"/>
      </w:pPr>
      <w:rPr>
        <w:rFonts w:ascii="Lucida Sans" w:hAnsi="Lucida Sans" w:hint="default"/>
        <w:b/>
        <w:i w:val="0"/>
        <w:sz w:val="24"/>
      </w:rPr>
    </w:lvl>
    <w:lvl w:ilvl="1">
      <w:start w:val="1"/>
      <w:numFmt w:val="decimal"/>
      <w:lvlText w:val="%1.%2"/>
      <w:lvlJc w:val="left"/>
      <w:pPr>
        <w:ind w:left="567" w:hanging="567"/>
      </w:pPr>
      <w:rPr>
        <w:rFonts w:ascii="Lucida Sans" w:hAnsi="Lucida Sans" w:hint="default"/>
        <w:b w:val="0"/>
        <w:i w:val="0"/>
        <w:sz w:val="24"/>
      </w:rPr>
    </w:lvl>
    <w:lvl w:ilvl="2">
      <w:start w:val="1"/>
      <w:numFmt w:val="lowerLetter"/>
      <w:lvlText w:val="%3."/>
      <w:lvlJc w:val="left"/>
      <w:pPr>
        <w:tabs>
          <w:tab w:val="num" w:pos="1474"/>
        </w:tabs>
        <w:ind w:left="1871" w:hanging="453"/>
      </w:pPr>
      <w:rPr>
        <w:rFonts w:hint="default"/>
        <w:b w:val="0"/>
        <w:i w:val="0"/>
      </w:rPr>
    </w:lvl>
    <w:lvl w:ilvl="3">
      <w:start w:val="1"/>
      <w:numFmt w:val="lowerRoman"/>
      <w:lvlText w:val="%4."/>
      <w:lvlJc w:val="left"/>
      <w:pPr>
        <w:tabs>
          <w:tab w:val="num" w:pos="2268"/>
        </w:tabs>
        <w:ind w:left="2552" w:hanging="284"/>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8">
    <w:nsid w:val="5B353B4F"/>
    <w:multiLevelType w:val="multilevel"/>
    <w:tmpl w:val="DE284E98"/>
    <w:lvl w:ilvl="0">
      <w:start w:val="1"/>
      <w:numFmt w:val="bullet"/>
      <w:pStyle w:val="MBbullets"/>
      <w:lvlText w:val=""/>
      <w:lvlJc w:val="left"/>
      <w:pPr>
        <w:tabs>
          <w:tab w:val="num" w:pos="1418"/>
        </w:tabs>
        <w:ind w:left="1644" w:hanging="226"/>
      </w:pPr>
      <w:rPr>
        <w:rFonts w:ascii="Symbol" w:hAnsi="Symbol" w:hint="default"/>
      </w:rPr>
    </w:lvl>
    <w:lvl w:ilvl="1">
      <w:start w:val="1"/>
      <w:numFmt w:val="bullet"/>
      <w:lvlText w:val="–"/>
      <w:lvlJc w:val="left"/>
      <w:pPr>
        <w:tabs>
          <w:tab w:val="num" w:pos="1985"/>
        </w:tabs>
        <w:ind w:left="2211" w:hanging="226"/>
      </w:pPr>
      <w:rPr>
        <w:rFonts w:ascii="Lucida Sans" w:hAnsi="Lucida Sans" w:hint="default"/>
      </w:rPr>
    </w:lvl>
    <w:lvl w:ilvl="2">
      <w:start w:val="1"/>
      <w:numFmt w:val="bullet"/>
      <w:lvlText w:val="–"/>
      <w:lvlJc w:val="left"/>
      <w:pPr>
        <w:tabs>
          <w:tab w:val="num" w:pos="2552"/>
        </w:tabs>
        <w:ind w:left="2778" w:hanging="226"/>
      </w:pPr>
      <w:rPr>
        <w:rFonts w:ascii="Lucida Sans" w:hAnsi="Lucida Sans" w:hint="default"/>
      </w:rPr>
    </w:lvl>
    <w:lvl w:ilvl="3">
      <w:start w:val="1"/>
      <w:numFmt w:val="bullet"/>
      <w:lvlText w:val=""/>
      <w:lvlJc w:val="left"/>
      <w:pPr>
        <w:ind w:left="2182" w:hanging="360"/>
      </w:pPr>
      <w:rPr>
        <w:rFonts w:ascii="Symbol" w:hAnsi="Symbol" w:hint="default"/>
      </w:rPr>
    </w:lvl>
    <w:lvl w:ilvl="4">
      <w:start w:val="1"/>
      <w:numFmt w:val="bullet"/>
      <w:lvlText w:val="o"/>
      <w:lvlJc w:val="left"/>
      <w:pPr>
        <w:ind w:left="2902" w:hanging="360"/>
      </w:pPr>
      <w:rPr>
        <w:rFonts w:ascii="Courier New" w:hAnsi="Courier New" w:cs="Courier New" w:hint="default"/>
      </w:rPr>
    </w:lvl>
    <w:lvl w:ilvl="5">
      <w:start w:val="1"/>
      <w:numFmt w:val="bullet"/>
      <w:lvlText w:val=""/>
      <w:lvlJc w:val="left"/>
      <w:pPr>
        <w:ind w:left="3622" w:hanging="360"/>
      </w:pPr>
      <w:rPr>
        <w:rFonts w:ascii="Wingdings" w:hAnsi="Wingdings" w:hint="default"/>
      </w:rPr>
    </w:lvl>
    <w:lvl w:ilvl="6">
      <w:start w:val="1"/>
      <w:numFmt w:val="bullet"/>
      <w:lvlText w:val=""/>
      <w:lvlJc w:val="left"/>
      <w:pPr>
        <w:ind w:left="4342" w:hanging="360"/>
      </w:pPr>
      <w:rPr>
        <w:rFonts w:ascii="Symbol" w:hAnsi="Symbol" w:hint="default"/>
      </w:rPr>
    </w:lvl>
    <w:lvl w:ilvl="7">
      <w:start w:val="1"/>
      <w:numFmt w:val="bullet"/>
      <w:lvlText w:val="o"/>
      <w:lvlJc w:val="left"/>
      <w:pPr>
        <w:ind w:left="5062" w:hanging="360"/>
      </w:pPr>
      <w:rPr>
        <w:rFonts w:ascii="Courier New" w:hAnsi="Courier New" w:cs="Courier New" w:hint="default"/>
      </w:rPr>
    </w:lvl>
    <w:lvl w:ilvl="8">
      <w:start w:val="1"/>
      <w:numFmt w:val="bullet"/>
      <w:lvlText w:val=""/>
      <w:lvlJc w:val="left"/>
      <w:pPr>
        <w:ind w:left="5782" w:hanging="360"/>
      </w:pPr>
      <w:rPr>
        <w:rFonts w:ascii="Wingdings" w:hAnsi="Wingdings" w:hint="default"/>
      </w:rPr>
    </w:lvl>
  </w:abstractNum>
  <w:abstractNum w:abstractNumId="9">
    <w:nsid w:val="628142A8"/>
    <w:multiLevelType w:val="multilevel"/>
    <w:tmpl w:val="A844E9BC"/>
    <w:lvl w:ilvl="0">
      <w:start w:val="1"/>
      <w:numFmt w:val="decimal"/>
      <w:lvlText w:val="%1.0"/>
      <w:lvlJc w:val="left"/>
      <w:pPr>
        <w:tabs>
          <w:tab w:val="num" w:pos="680"/>
        </w:tabs>
        <w:ind w:left="680" w:hanging="680"/>
      </w:pPr>
      <w:rPr>
        <w:rFonts w:ascii="Lucida Sans" w:hAnsi="Lucida Sans" w:hint="default"/>
        <w:b/>
        <w:i w:val="0"/>
        <w:sz w:val="24"/>
      </w:rPr>
    </w:lvl>
    <w:lvl w:ilvl="1">
      <w:start w:val="1"/>
      <w:numFmt w:val="decimal"/>
      <w:pStyle w:val="ListParagraph1"/>
      <w:lvlText w:val="%1.%2."/>
      <w:lvlJc w:val="left"/>
      <w:pPr>
        <w:tabs>
          <w:tab w:val="num" w:pos="680"/>
        </w:tabs>
        <w:ind w:left="680" w:hanging="680"/>
      </w:pPr>
      <w:rPr>
        <w:rFonts w:ascii="Lucida Sans" w:hAnsi="Lucida Sans" w:hint="default"/>
        <w:b w:val="0"/>
        <w:i w:val="0"/>
        <w:sz w:val="24"/>
      </w:rPr>
    </w:lvl>
    <w:lvl w:ilvl="2">
      <w:start w:val="1"/>
      <w:numFmt w:val="decimal"/>
      <w:lvlText w:val="%1.%2.%3."/>
      <w:lvlJc w:val="left"/>
      <w:pPr>
        <w:tabs>
          <w:tab w:val="num" w:pos="680"/>
        </w:tabs>
        <w:ind w:left="680" w:hanging="680"/>
      </w:pPr>
      <w:rPr>
        <w:rFonts w:ascii="Lucida Sans" w:hAnsi="Lucida Sans"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62F81DA3"/>
    <w:multiLevelType w:val="hybridMultilevel"/>
    <w:tmpl w:val="08BA0E5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47C3683"/>
    <w:multiLevelType w:val="hybridMultilevel"/>
    <w:tmpl w:val="E506D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FD07BF"/>
    <w:multiLevelType w:val="hybridMultilevel"/>
    <w:tmpl w:val="5A7468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8D7FC7"/>
    <w:multiLevelType w:val="singleLevel"/>
    <w:tmpl w:val="8418EC88"/>
    <w:lvl w:ilvl="0">
      <w:start w:val="5"/>
      <w:numFmt w:val="lowerRoman"/>
      <w:lvlText w:val="%1."/>
      <w:lvlJc w:val="left"/>
      <w:pPr>
        <w:tabs>
          <w:tab w:val="num" w:pos="1440"/>
        </w:tabs>
        <w:ind w:left="1440" w:hanging="720"/>
      </w:pPr>
      <w:rPr>
        <w:rFonts w:hint="default"/>
      </w:rPr>
    </w:lvl>
  </w:abstractNum>
  <w:abstractNum w:abstractNumId="14">
    <w:nsid w:val="72C011D0"/>
    <w:multiLevelType w:val="hybridMultilevel"/>
    <w:tmpl w:val="1F4048A8"/>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5">
    <w:nsid w:val="73961A62"/>
    <w:multiLevelType w:val="hybridMultilevel"/>
    <w:tmpl w:val="A2342E4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7"/>
  </w:num>
  <w:num w:numId="2">
    <w:abstractNumId w:val="5"/>
  </w:num>
  <w:num w:numId="3">
    <w:abstractNumId w:val="8"/>
  </w:num>
  <w:num w:numId="4">
    <w:abstractNumId w:val="9"/>
  </w:num>
  <w:num w:numId="5">
    <w:abstractNumId w:val="13"/>
  </w:num>
  <w:num w:numId="6">
    <w:abstractNumId w:val="7"/>
  </w:num>
  <w:num w:numId="7">
    <w:abstractNumId w:val="4"/>
  </w:num>
  <w:num w:numId="8">
    <w:abstractNumId w:val="3"/>
  </w:num>
  <w:num w:numId="9">
    <w:abstractNumId w:val="7"/>
  </w:num>
  <w:num w:numId="10">
    <w:abstractNumId w:val="10"/>
  </w:num>
  <w:num w:numId="11">
    <w:abstractNumId w:val="12"/>
  </w:num>
  <w:num w:numId="12">
    <w:abstractNumId w:val="15"/>
  </w:num>
  <w:num w:numId="13">
    <w:abstractNumId w:val="0"/>
  </w:num>
  <w:num w:numId="14">
    <w:abstractNumId w:val="6"/>
  </w:num>
  <w:num w:numId="15">
    <w:abstractNumId w:val="1"/>
  </w:num>
  <w:num w:numId="16">
    <w:abstractNumId w:val="14"/>
  </w:num>
  <w:num w:numId="17">
    <w:abstractNumId w:val="7"/>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15"/>
    <w:rsid w:val="00000334"/>
    <w:rsid w:val="0000182C"/>
    <w:rsid w:val="000038E2"/>
    <w:rsid w:val="00003976"/>
    <w:rsid w:val="00011A37"/>
    <w:rsid w:val="00020660"/>
    <w:rsid w:val="00020734"/>
    <w:rsid w:val="00024D1B"/>
    <w:rsid w:val="00025163"/>
    <w:rsid w:val="00026115"/>
    <w:rsid w:val="00027D82"/>
    <w:rsid w:val="0003016B"/>
    <w:rsid w:val="00033449"/>
    <w:rsid w:val="00035E6D"/>
    <w:rsid w:val="00045354"/>
    <w:rsid w:val="0004627C"/>
    <w:rsid w:val="0005611F"/>
    <w:rsid w:val="00060CA1"/>
    <w:rsid w:val="000611CB"/>
    <w:rsid w:val="00062AFF"/>
    <w:rsid w:val="000634F5"/>
    <w:rsid w:val="00075936"/>
    <w:rsid w:val="000779DE"/>
    <w:rsid w:val="000802DF"/>
    <w:rsid w:val="000832C8"/>
    <w:rsid w:val="000868DC"/>
    <w:rsid w:val="00095D41"/>
    <w:rsid w:val="000A1B3D"/>
    <w:rsid w:val="000A1C8B"/>
    <w:rsid w:val="000B04A0"/>
    <w:rsid w:val="000B47EF"/>
    <w:rsid w:val="000B5B81"/>
    <w:rsid w:val="000B6A97"/>
    <w:rsid w:val="000D0F26"/>
    <w:rsid w:val="000D30CF"/>
    <w:rsid w:val="000D500C"/>
    <w:rsid w:val="000D761F"/>
    <w:rsid w:val="000E2C8D"/>
    <w:rsid w:val="000F00E6"/>
    <w:rsid w:val="000F1B62"/>
    <w:rsid w:val="000F5F37"/>
    <w:rsid w:val="000F7E9C"/>
    <w:rsid w:val="00112554"/>
    <w:rsid w:val="00123AA7"/>
    <w:rsid w:val="0012634B"/>
    <w:rsid w:val="0013282A"/>
    <w:rsid w:val="00140DFE"/>
    <w:rsid w:val="0014286A"/>
    <w:rsid w:val="00143085"/>
    <w:rsid w:val="00143363"/>
    <w:rsid w:val="00144D6E"/>
    <w:rsid w:val="00145AE0"/>
    <w:rsid w:val="0015215F"/>
    <w:rsid w:val="001533B7"/>
    <w:rsid w:val="00156EB4"/>
    <w:rsid w:val="001612B6"/>
    <w:rsid w:val="00162762"/>
    <w:rsid w:val="00163B5F"/>
    <w:rsid w:val="00163D16"/>
    <w:rsid w:val="001661D1"/>
    <w:rsid w:val="00166E3C"/>
    <w:rsid w:val="001718D8"/>
    <w:rsid w:val="00174A06"/>
    <w:rsid w:val="0017688F"/>
    <w:rsid w:val="00181407"/>
    <w:rsid w:val="00183C9D"/>
    <w:rsid w:val="001856AA"/>
    <w:rsid w:val="00185A35"/>
    <w:rsid w:val="001861AE"/>
    <w:rsid w:val="001946A2"/>
    <w:rsid w:val="0019667C"/>
    <w:rsid w:val="001A3454"/>
    <w:rsid w:val="001A5B55"/>
    <w:rsid w:val="001A6ADA"/>
    <w:rsid w:val="001B1AB5"/>
    <w:rsid w:val="001B3E61"/>
    <w:rsid w:val="001B5994"/>
    <w:rsid w:val="001C1CA0"/>
    <w:rsid w:val="001C5402"/>
    <w:rsid w:val="001D4A79"/>
    <w:rsid w:val="001E4C91"/>
    <w:rsid w:val="001F0EA6"/>
    <w:rsid w:val="001F2868"/>
    <w:rsid w:val="001F5E16"/>
    <w:rsid w:val="00201D44"/>
    <w:rsid w:val="002065FB"/>
    <w:rsid w:val="00207A12"/>
    <w:rsid w:val="00207B25"/>
    <w:rsid w:val="00223A5A"/>
    <w:rsid w:val="00226142"/>
    <w:rsid w:val="00231957"/>
    <w:rsid w:val="00240370"/>
    <w:rsid w:val="00241A81"/>
    <w:rsid w:val="002444F1"/>
    <w:rsid w:val="00244674"/>
    <w:rsid w:val="00247759"/>
    <w:rsid w:val="00252F26"/>
    <w:rsid w:val="002654C7"/>
    <w:rsid w:val="00273BFB"/>
    <w:rsid w:val="00277A6D"/>
    <w:rsid w:val="0028211C"/>
    <w:rsid w:val="00283BB2"/>
    <w:rsid w:val="002856FF"/>
    <w:rsid w:val="00286029"/>
    <w:rsid w:val="0029173D"/>
    <w:rsid w:val="00291EED"/>
    <w:rsid w:val="002A118B"/>
    <w:rsid w:val="002B4AE0"/>
    <w:rsid w:val="002C04B8"/>
    <w:rsid w:val="002C12C1"/>
    <w:rsid w:val="002D2134"/>
    <w:rsid w:val="002D3299"/>
    <w:rsid w:val="002D470A"/>
    <w:rsid w:val="002D756D"/>
    <w:rsid w:val="002E1124"/>
    <w:rsid w:val="002E35B3"/>
    <w:rsid w:val="002F1D81"/>
    <w:rsid w:val="002F780E"/>
    <w:rsid w:val="00300AE0"/>
    <w:rsid w:val="003054D0"/>
    <w:rsid w:val="003124A5"/>
    <w:rsid w:val="00314E5C"/>
    <w:rsid w:val="00316EF6"/>
    <w:rsid w:val="003220A0"/>
    <w:rsid w:val="0032220C"/>
    <w:rsid w:val="0032329F"/>
    <w:rsid w:val="00324461"/>
    <w:rsid w:val="00337289"/>
    <w:rsid w:val="00345B23"/>
    <w:rsid w:val="00352754"/>
    <w:rsid w:val="003555C5"/>
    <w:rsid w:val="00367C58"/>
    <w:rsid w:val="003703A5"/>
    <w:rsid w:val="00370FE8"/>
    <w:rsid w:val="003765D7"/>
    <w:rsid w:val="003832BC"/>
    <w:rsid w:val="00386C2D"/>
    <w:rsid w:val="00390D9B"/>
    <w:rsid w:val="00391862"/>
    <w:rsid w:val="003924DD"/>
    <w:rsid w:val="003A0799"/>
    <w:rsid w:val="003A2E7D"/>
    <w:rsid w:val="003B6CED"/>
    <w:rsid w:val="003D1349"/>
    <w:rsid w:val="003D2D54"/>
    <w:rsid w:val="003D2FEF"/>
    <w:rsid w:val="003E0BD2"/>
    <w:rsid w:val="003E0F9C"/>
    <w:rsid w:val="003E1EFC"/>
    <w:rsid w:val="003F75F8"/>
    <w:rsid w:val="004066C9"/>
    <w:rsid w:val="00411EFF"/>
    <w:rsid w:val="00413B53"/>
    <w:rsid w:val="00421F22"/>
    <w:rsid w:val="00422E28"/>
    <w:rsid w:val="004317D0"/>
    <w:rsid w:val="00432EF7"/>
    <w:rsid w:val="00441C2A"/>
    <w:rsid w:val="00443295"/>
    <w:rsid w:val="0044668F"/>
    <w:rsid w:val="004538A1"/>
    <w:rsid w:val="00453E12"/>
    <w:rsid w:val="004623BE"/>
    <w:rsid w:val="004720EC"/>
    <w:rsid w:val="00473078"/>
    <w:rsid w:val="004775BC"/>
    <w:rsid w:val="004777F3"/>
    <w:rsid w:val="00487DBA"/>
    <w:rsid w:val="0049000F"/>
    <w:rsid w:val="004930B8"/>
    <w:rsid w:val="00493A56"/>
    <w:rsid w:val="004A783C"/>
    <w:rsid w:val="004A7CCC"/>
    <w:rsid w:val="004B1FB5"/>
    <w:rsid w:val="004E2DAF"/>
    <w:rsid w:val="004E61F6"/>
    <w:rsid w:val="004F3EFB"/>
    <w:rsid w:val="004F4B0A"/>
    <w:rsid w:val="00506FC7"/>
    <w:rsid w:val="00507F24"/>
    <w:rsid w:val="005137A2"/>
    <w:rsid w:val="00514870"/>
    <w:rsid w:val="00520B83"/>
    <w:rsid w:val="00522CCA"/>
    <w:rsid w:val="00524A08"/>
    <w:rsid w:val="005276D6"/>
    <w:rsid w:val="00531809"/>
    <w:rsid w:val="005343FD"/>
    <w:rsid w:val="00535D0A"/>
    <w:rsid w:val="005372E9"/>
    <w:rsid w:val="00540B30"/>
    <w:rsid w:val="00544525"/>
    <w:rsid w:val="00547F3B"/>
    <w:rsid w:val="005525F2"/>
    <w:rsid w:val="005565A1"/>
    <w:rsid w:val="005612B7"/>
    <w:rsid w:val="00564F7F"/>
    <w:rsid w:val="00565E30"/>
    <w:rsid w:val="00575437"/>
    <w:rsid w:val="00581917"/>
    <w:rsid w:val="00583333"/>
    <w:rsid w:val="00585CD4"/>
    <w:rsid w:val="00586A8B"/>
    <w:rsid w:val="00592D2A"/>
    <w:rsid w:val="00593530"/>
    <w:rsid w:val="00595237"/>
    <w:rsid w:val="005952DD"/>
    <w:rsid w:val="00595490"/>
    <w:rsid w:val="005A0B73"/>
    <w:rsid w:val="005A408B"/>
    <w:rsid w:val="005A5BBE"/>
    <w:rsid w:val="005B3744"/>
    <w:rsid w:val="005B6ED9"/>
    <w:rsid w:val="005B77B7"/>
    <w:rsid w:val="005C396B"/>
    <w:rsid w:val="005C4DE4"/>
    <w:rsid w:val="005C5746"/>
    <w:rsid w:val="005D19B7"/>
    <w:rsid w:val="005D3590"/>
    <w:rsid w:val="005D51A3"/>
    <w:rsid w:val="005F48E6"/>
    <w:rsid w:val="00610593"/>
    <w:rsid w:val="00613594"/>
    <w:rsid w:val="00616D12"/>
    <w:rsid w:val="00622B62"/>
    <w:rsid w:val="006249DA"/>
    <w:rsid w:val="006255C7"/>
    <w:rsid w:val="00625613"/>
    <w:rsid w:val="00626B3F"/>
    <w:rsid w:val="00627A08"/>
    <w:rsid w:val="00633F6D"/>
    <w:rsid w:val="0063555C"/>
    <w:rsid w:val="00641CB1"/>
    <w:rsid w:val="00647A7D"/>
    <w:rsid w:val="00650C93"/>
    <w:rsid w:val="006538F8"/>
    <w:rsid w:val="0066521E"/>
    <w:rsid w:val="00670209"/>
    <w:rsid w:val="0068296B"/>
    <w:rsid w:val="00683205"/>
    <w:rsid w:val="0068465E"/>
    <w:rsid w:val="00691358"/>
    <w:rsid w:val="006926FC"/>
    <w:rsid w:val="006A733C"/>
    <w:rsid w:val="006B6800"/>
    <w:rsid w:val="006C0A4D"/>
    <w:rsid w:val="006C0D3A"/>
    <w:rsid w:val="006C19EA"/>
    <w:rsid w:val="006C38F4"/>
    <w:rsid w:val="006D33DB"/>
    <w:rsid w:val="006D6094"/>
    <w:rsid w:val="006E3303"/>
    <w:rsid w:val="006E747C"/>
    <w:rsid w:val="006E7BA2"/>
    <w:rsid w:val="007010AF"/>
    <w:rsid w:val="00703FC5"/>
    <w:rsid w:val="00703FD5"/>
    <w:rsid w:val="0070487F"/>
    <w:rsid w:val="00706828"/>
    <w:rsid w:val="00707C56"/>
    <w:rsid w:val="00710C8E"/>
    <w:rsid w:val="00722EE2"/>
    <w:rsid w:val="0072546E"/>
    <w:rsid w:val="00730430"/>
    <w:rsid w:val="00745407"/>
    <w:rsid w:val="007534A5"/>
    <w:rsid w:val="00756CEF"/>
    <w:rsid w:val="007641B4"/>
    <w:rsid w:val="00766046"/>
    <w:rsid w:val="00770210"/>
    <w:rsid w:val="0077703B"/>
    <w:rsid w:val="0077739C"/>
    <w:rsid w:val="007812FC"/>
    <w:rsid w:val="00790610"/>
    <w:rsid w:val="0079375A"/>
    <w:rsid w:val="00796D1A"/>
    <w:rsid w:val="007A5A17"/>
    <w:rsid w:val="007B0B27"/>
    <w:rsid w:val="007B5152"/>
    <w:rsid w:val="007B5CC5"/>
    <w:rsid w:val="007C2D14"/>
    <w:rsid w:val="007C5CDF"/>
    <w:rsid w:val="007D62FC"/>
    <w:rsid w:val="007E1815"/>
    <w:rsid w:val="007E1926"/>
    <w:rsid w:val="007E413F"/>
    <w:rsid w:val="007E63FA"/>
    <w:rsid w:val="007F1517"/>
    <w:rsid w:val="007F3B1A"/>
    <w:rsid w:val="007F5A23"/>
    <w:rsid w:val="008021F4"/>
    <w:rsid w:val="00804ED0"/>
    <w:rsid w:val="00807B5A"/>
    <w:rsid w:val="00807DA2"/>
    <w:rsid w:val="00810967"/>
    <w:rsid w:val="00814A84"/>
    <w:rsid w:val="0081707C"/>
    <w:rsid w:val="00822988"/>
    <w:rsid w:val="00823EA2"/>
    <w:rsid w:val="00824809"/>
    <w:rsid w:val="00824E4F"/>
    <w:rsid w:val="008252D5"/>
    <w:rsid w:val="0083451F"/>
    <w:rsid w:val="00836DED"/>
    <w:rsid w:val="00837D0C"/>
    <w:rsid w:val="00840E6E"/>
    <w:rsid w:val="00844C9D"/>
    <w:rsid w:val="00844CE0"/>
    <w:rsid w:val="00845858"/>
    <w:rsid w:val="00846007"/>
    <w:rsid w:val="00851DAE"/>
    <w:rsid w:val="00853248"/>
    <w:rsid w:val="00854326"/>
    <w:rsid w:val="0086672C"/>
    <w:rsid w:val="008712F4"/>
    <w:rsid w:val="00885449"/>
    <w:rsid w:val="0088643B"/>
    <w:rsid w:val="00890E4D"/>
    <w:rsid w:val="00890FD0"/>
    <w:rsid w:val="008A2CEF"/>
    <w:rsid w:val="008A7734"/>
    <w:rsid w:val="008B537C"/>
    <w:rsid w:val="008C019C"/>
    <w:rsid w:val="008C2B99"/>
    <w:rsid w:val="008C57F8"/>
    <w:rsid w:val="008C672A"/>
    <w:rsid w:val="008C6EDF"/>
    <w:rsid w:val="008D0151"/>
    <w:rsid w:val="008E1D7E"/>
    <w:rsid w:val="008E469F"/>
    <w:rsid w:val="008E7ABE"/>
    <w:rsid w:val="008F6855"/>
    <w:rsid w:val="008F6E48"/>
    <w:rsid w:val="008F73FC"/>
    <w:rsid w:val="00902064"/>
    <w:rsid w:val="009127F6"/>
    <w:rsid w:val="00915BC5"/>
    <w:rsid w:val="00916238"/>
    <w:rsid w:val="00927116"/>
    <w:rsid w:val="009271E1"/>
    <w:rsid w:val="009309BC"/>
    <w:rsid w:val="00932AEE"/>
    <w:rsid w:val="009343E9"/>
    <w:rsid w:val="00946010"/>
    <w:rsid w:val="00967370"/>
    <w:rsid w:val="00967A0D"/>
    <w:rsid w:val="00970C6E"/>
    <w:rsid w:val="00977879"/>
    <w:rsid w:val="0098189B"/>
    <w:rsid w:val="009825A3"/>
    <w:rsid w:val="0098587B"/>
    <w:rsid w:val="0099544E"/>
    <w:rsid w:val="00995CA4"/>
    <w:rsid w:val="009A1EEA"/>
    <w:rsid w:val="009A2587"/>
    <w:rsid w:val="009A7E8D"/>
    <w:rsid w:val="009B4551"/>
    <w:rsid w:val="009B76E6"/>
    <w:rsid w:val="009C6E14"/>
    <w:rsid w:val="009D0C1F"/>
    <w:rsid w:val="009D3F40"/>
    <w:rsid w:val="009F264D"/>
    <w:rsid w:val="00A0043B"/>
    <w:rsid w:val="00A01A0A"/>
    <w:rsid w:val="00A12042"/>
    <w:rsid w:val="00A13B0C"/>
    <w:rsid w:val="00A152D8"/>
    <w:rsid w:val="00A21372"/>
    <w:rsid w:val="00A21730"/>
    <w:rsid w:val="00A22814"/>
    <w:rsid w:val="00A252B2"/>
    <w:rsid w:val="00A26E6A"/>
    <w:rsid w:val="00A31ED5"/>
    <w:rsid w:val="00A4227C"/>
    <w:rsid w:val="00A51C56"/>
    <w:rsid w:val="00A528F6"/>
    <w:rsid w:val="00A53BB0"/>
    <w:rsid w:val="00A54795"/>
    <w:rsid w:val="00A55547"/>
    <w:rsid w:val="00A712E1"/>
    <w:rsid w:val="00A728C0"/>
    <w:rsid w:val="00A75B73"/>
    <w:rsid w:val="00A81915"/>
    <w:rsid w:val="00A84932"/>
    <w:rsid w:val="00A95CF4"/>
    <w:rsid w:val="00AA18D3"/>
    <w:rsid w:val="00AA1D5E"/>
    <w:rsid w:val="00AA5649"/>
    <w:rsid w:val="00AB1AFB"/>
    <w:rsid w:val="00AB4EC2"/>
    <w:rsid w:val="00AB741B"/>
    <w:rsid w:val="00AC17BA"/>
    <w:rsid w:val="00AC686B"/>
    <w:rsid w:val="00AD0167"/>
    <w:rsid w:val="00AD047B"/>
    <w:rsid w:val="00AE187C"/>
    <w:rsid w:val="00AE4521"/>
    <w:rsid w:val="00AF0036"/>
    <w:rsid w:val="00AF19B7"/>
    <w:rsid w:val="00B0268E"/>
    <w:rsid w:val="00B03811"/>
    <w:rsid w:val="00B04C6D"/>
    <w:rsid w:val="00B06557"/>
    <w:rsid w:val="00B100F2"/>
    <w:rsid w:val="00B13495"/>
    <w:rsid w:val="00B167F7"/>
    <w:rsid w:val="00B179C0"/>
    <w:rsid w:val="00B2551A"/>
    <w:rsid w:val="00B27395"/>
    <w:rsid w:val="00B30C92"/>
    <w:rsid w:val="00B31F6C"/>
    <w:rsid w:val="00B32B85"/>
    <w:rsid w:val="00B33CA3"/>
    <w:rsid w:val="00B34A71"/>
    <w:rsid w:val="00B3648D"/>
    <w:rsid w:val="00B37B67"/>
    <w:rsid w:val="00B40BF6"/>
    <w:rsid w:val="00B431FA"/>
    <w:rsid w:val="00B435D7"/>
    <w:rsid w:val="00B44190"/>
    <w:rsid w:val="00B5090C"/>
    <w:rsid w:val="00B52907"/>
    <w:rsid w:val="00B52B13"/>
    <w:rsid w:val="00B5688B"/>
    <w:rsid w:val="00B60269"/>
    <w:rsid w:val="00B76023"/>
    <w:rsid w:val="00B820BE"/>
    <w:rsid w:val="00B856CB"/>
    <w:rsid w:val="00B86F7E"/>
    <w:rsid w:val="00B9018D"/>
    <w:rsid w:val="00B901F8"/>
    <w:rsid w:val="00B90F7A"/>
    <w:rsid w:val="00BA102A"/>
    <w:rsid w:val="00BA2461"/>
    <w:rsid w:val="00BA5AD2"/>
    <w:rsid w:val="00BB5D08"/>
    <w:rsid w:val="00BB6C6E"/>
    <w:rsid w:val="00BC1FD7"/>
    <w:rsid w:val="00BC5284"/>
    <w:rsid w:val="00BD0033"/>
    <w:rsid w:val="00BD5063"/>
    <w:rsid w:val="00BD5D1B"/>
    <w:rsid w:val="00BF40D3"/>
    <w:rsid w:val="00C02279"/>
    <w:rsid w:val="00C15863"/>
    <w:rsid w:val="00C24FA4"/>
    <w:rsid w:val="00C34560"/>
    <w:rsid w:val="00C3711C"/>
    <w:rsid w:val="00C412BA"/>
    <w:rsid w:val="00C437DF"/>
    <w:rsid w:val="00C478ED"/>
    <w:rsid w:val="00C52759"/>
    <w:rsid w:val="00C53E85"/>
    <w:rsid w:val="00C54C58"/>
    <w:rsid w:val="00C62156"/>
    <w:rsid w:val="00C62990"/>
    <w:rsid w:val="00C6394A"/>
    <w:rsid w:val="00C64793"/>
    <w:rsid w:val="00C64A13"/>
    <w:rsid w:val="00C67639"/>
    <w:rsid w:val="00C81D90"/>
    <w:rsid w:val="00C8219D"/>
    <w:rsid w:val="00C82D32"/>
    <w:rsid w:val="00C839F6"/>
    <w:rsid w:val="00C9221C"/>
    <w:rsid w:val="00C92804"/>
    <w:rsid w:val="00C966E3"/>
    <w:rsid w:val="00CA4B48"/>
    <w:rsid w:val="00CA6BEB"/>
    <w:rsid w:val="00CA78B8"/>
    <w:rsid w:val="00CB0C2C"/>
    <w:rsid w:val="00CB504D"/>
    <w:rsid w:val="00CB7FE1"/>
    <w:rsid w:val="00CC1EC9"/>
    <w:rsid w:val="00CC2E73"/>
    <w:rsid w:val="00CC306D"/>
    <w:rsid w:val="00CD3E55"/>
    <w:rsid w:val="00CD6316"/>
    <w:rsid w:val="00CD7697"/>
    <w:rsid w:val="00CE14DE"/>
    <w:rsid w:val="00CF0C72"/>
    <w:rsid w:val="00D01F28"/>
    <w:rsid w:val="00D0624B"/>
    <w:rsid w:val="00D07C71"/>
    <w:rsid w:val="00D102B1"/>
    <w:rsid w:val="00D12CB4"/>
    <w:rsid w:val="00D14676"/>
    <w:rsid w:val="00D1574D"/>
    <w:rsid w:val="00D1692D"/>
    <w:rsid w:val="00D22ADB"/>
    <w:rsid w:val="00D242BE"/>
    <w:rsid w:val="00D474C5"/>
    <w:rsid w:val="00D50DB6"/>
    <w:rsid w:val="00D577EB"/>
    <w:rsid w:val="00D62835"/>
    <w:rsid w:val="00D70ACD"/>
    <w:rsid w:val="00D72304"/>
    <w:rsid w:val="00D81844"/>
    <w:rsid w:val="00D8452F"/>
    <w:rsid w:val="00D857EA"/>
    <w:rsid w:val="00DA252F"/>
    <w:rsid w:val="00DA38B6"/>
    <w:rsid w:val="00DA5406"/>
    <w:rsid w:val="00DB16C5"/>
    <w:rsid w:val="00DB5A88"/>
    <w:rsid w:val="00DB7C51"/>
    <w:rsid w:val="00DC0E65"/>
    <w:rsid w:val="00DD08D6"/>
    <w:rsid w:val="00DD0A9C"/>
    <w:rsid w:val="00DD0FD1"/>
    <w:rsid w:val="00DD5D30"/>
    <w:rsid w:val="00DE2C43"/>
    <w:rsid w:val="00DE3D93"/>
    <w:rsid w:val="00DE525D"/>
    <w:rsid w:val="00DF4B29"/>
    <w:rsid w:val="00DF68F4"/>
    <w:rsid w:val="00E058F2"/>
    <w:rsid w:val="00E35D32"/>
    <w:rsid w:val="00E403B6"/>
    <w:rsid w:val="00E4209A"/>
    <w:rsid w:val="00E4211F"/>
    <w:rsid w:val="00E42E27"/>
    <w:rsid w:val="00E51CB3"/>
    <w:rsid w:val="00E631B8"/>
    <w:rsid w:val="00E63AB1"/>
    <w:rsid w:val="00E65452"/>
    <w:rsid w:val="00E72231"/>
    <w:rsid w:val="00E816DF"/>
    <w:rsid w:val="00E8259C"/>
    <w:rsid w:val="00EA06F8"/>
    <w:rsid w:val="00EA282B"/>
    <w:rsid w:val="00EA3357"/>
    <w:rsid w:val="00EA7816"/>
    <w:rsid w:val="00EB5B15"/>
    <w:rsid w:val="00EB7ECE"/>
    <w:rsid w:val="00EC3DE5"/>
    <w:rsid w:val="00EC447A"/>
    <w:rsid w:val="00ED0C89"/>
    <w:rsid w:val="00ED38DD"/>
    <w:rsid w:val="00ED5A00"/>
    <w:rsid w:val="00EF1D8A"/>
    <w:rsid w:val="00EF6D85"/>
    <w:rsid w:val="00F062AF"/>
    <w:rsid w:val="00F12323"/>
    <w:rsid w:val="00F12E7E"/>
    <w:rsid w:val="00F1308B"/>
    <w:rsid w:val="00F20FFE"/>
    <w:rsid w:val="00F21531"/>
    <w:rsid w:val="00F21AD3"/>
    <w:rsid w:val="00F34374"/>
    <w:rsid w:val="00F42E1F"/>
    <w:rsid w:val="00F4368E"/>
    <w:rsid w:val="00F444FC"/>
    <w:rsid w:val="00F515B5"/>
    <w:rsid w:val="00F57452"/>
    <w:rsid w:val="00F610EA"/>
    <w:rsid w:val="00F64C8A"/>
    <w:rsid w:val="00F65879"/>
    <w:rsid w:val="00F65CAF"/>
    <w:rsid w:val="00F73FD3"/>
    <w:rsid w:val="00F76748"/>
    <w:rsid w:val="00F80D73"/>
    <w:rsid w:val="00F833FD"/>
    <w:rsid w:val="00F841DA"/>
    <w:rsid w:val="00F9022E"/>
    <w:rsid w:val="00F91561"/>
    <w:rsid w:val="00F93304"/>
    <w:rsid w:val="00F9406A"/>
    <w:rsid w:val="00F97262"/>
    <w:rsid w:val="00FA25A4"/>
    <w:rsid w:val="00FA2DC5"/>
    <w:rsid w:val="00FA5FD8"/>
    <w:rsid w:val="00FA6C75"/>
    <w:rsid w:val="00FB2E5F"/>
    <w:rsid w:val="00FB2E89"/>
    <w:rsid w:val="00FB3B29"/>
    <w:rsid w:val="00FB4339"/>
    <w:rsid w:val="00FC2C9E"/>
    <w:rsid w:val="00FC461D"/>
    <w:rsid w:val="00FC4DDA"/>
    <w:rsid w:val="00FC6DB7"/>
    <w:rsid w:val="00FD7DDF"/>
    <w:rsid w:val="00FE18C4"/>
    <w:rsid w:val="00FE6188"/>
    <w:rsid w:val="00FF7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w:eastAsiaTheme="minorHAnsi" w:hAnsi="Lucida Sans" w:cstheme="minorBidi"/>
        <w:sz w:val="24"/>
        <w:szCs w:val="22"/>
        <w:lang w:val="en-GB" w:eastAsia="en-US" w:bidi="ar-SA"/>
      </w:rPr>
    </w:rPrDefault>
    <w:pPrDefault>
      <w:pPr>
        <w:spacing w:after="24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Pennawd1">
    <w:name w:val="heading 1"/>
    <w:basedOn w:val="Normal"/>
    <w:next w:val="Normal"/>
    <w:link w:val="Pennawd1Nod"/>
    <w:qFormat/>
    <w:rsid w:val="00062AFF"/>
    <w:pPr>
      <w:outlineLvl w:val="0"/>
    </w:pPr>
    <w:rPr>
      <w:rFonts w:eastAsia="Times New Roman" w:cs="Times New Roman"/>
      <w:b/>
      <w:noProof/>
      <w:sz w:val="32"/>
      <w:szCs w:val="32"/>
      <w:lang w:eastAsia="en-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ennyn">
    <w:name w:val="header"/>
    <w:basedOn w:val="Normal"/>
    <w:link w:val="PennynNod"/>
    <w:uiPriority w:val="99"/>
    <w:unhideWhenUsed/>
    <w:rsid w:val="00062AFF"/>
    <w:pPr>
      <w:tabs>
        <w:tab w:val="center" w:pos="4513"/>
        <w:tab w:val="right" w:pos="9026"/>
      </w:tabs>
      <w:spacing w:after="0" w:line="240" w:lineRule="auto"/>
    </w:pPr>
  </w:style>
  <w:style w:type="character" w:customStyle="1" w:styleId="PennynNod">
    <w:name w:val="Pennyn Nod"/>
    <w:basedOn w:val="FfontParagraffDdiofyn"/>
    <w:link w:val="Pennyn"/>
    <w:uiPriority w:val="99"/>
    <w:rsid w:val="00062AFF"/>
  </w:style>
  <w:style w:type="paragraph" w:styleId="Troedyn">
    <w:name w:val="footer"/>
    <w:basedOn w:val="Normal"/>
    <w:link w:val="TroedynNod"/>
    <w:uiPriority w:val="99"/>
    <w:unhideWhenUsed/>
    <w:rsid w:val="00062AFF"/>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062AFF"/>
  </w:style>
  <w:style w:type="character" w:customStyle="1" w:styleId="Pennawd1Nod">
    <w:name w:val="Pennawd 1 Nod"/>
    <w:basedOn w:val="FfontParagraffDdiofyn"/>
    <w:link w:val="Pennawd1"/>
    <w:rsid w:val="00062AFF"/>
    <w:rPr>
      <w:rFonts w:eastAsia="Times New Roman" w:cs="Times New Roman"/>
      <w:b/>
      <w:noProof/>
      <w:sz w:val="32"/>
      <w:szCs w:val="32"/>
      <w:lang w:eastAsia="en-GB"/>
    </w:rPr>
  </w:style>
  <w:style w:type="paragraph" w:customStyle="1" w:styleId="MBpaperheading">
    <w:name w:val="MB paper heading"/>
    <w:basedOn w:val="Pennawd1"/>
    <w:next w:val="Normal"/>
    <w:qFormat/>
    <w:rsid w:val="00062AFF"/>
    <w:rPr>
      <w:szCs w:val="24"/>
    </w:rPr>
  </w:style>
  <w:style w:type="paragraph" w:styleId="ParagraffRhestr">
    <w:name w:val="List Paragraph"/>
    <w:basedOn w:val="Normal"/>
    <w:uiPriority w:val="34"/>
    <w:qFormat/>
    <w:rsid w:val="00062AFF"/>
    <w:pPr>
      <w:ind w:left="720"/>
      <w:contextualSpacing/>
    </w:pPr>
  </w:style>
  <w:style w:type="paragraph" w:customStyle="1" w:styleId="MBlistparagraph">
    <w:name w:val="MB list paragraph"/>
    <w:basedOn w:val="ParagraffRhestr"/>
    <w:qFormat/>
    <w:rsid w:val="00062AFF"/>
    <w:pPr>
      <w:numPr>
        <w:numId w:val="1"/>
      </w:numPr>
      <w:contextualSpacing w:val="0"/>
    </w:pPr>
    <w:rPr>
      <w:lang w:eastAsia="en-GB"/>
    </w:rPr>
  </w:style>
  <w:style w:type="paragraph" w:customStyle="1" w:styleId="MBbullets">
    <w:name w:val="MB bullets"/>
    <w:basedOn w:val="ParagraffRhestr"/>
    <w:qFormat/>
    <w:rsid w:val="00035E6D"/>
    <w:pPr>
      <w:numPr>
        <w:numId w:val="3"/>
      </w:numPr>
      <w:contextualSpacing w:val="0"/>
    </w:pPr>
  </w:style>
  <w:style w:type="paragraph" w:customStyle="1" w:styleId="ListParagraph1">
    <w:name w:val="List Paragraph1"/>
    <w:basedOn w:val="Normal"/>
    <w:rsid w:val="00035E6D"/>
    <w:pPr>
      <w:numPr>
        <w:ilvl w:val="1"/>
        <w:numId w:val="4"/>
      </w:numPr>
    </w:pPr>
    <w:rPr>
      <w:rFonts w:eastAsia="Times New Roman" w:cs="Times New Roman"/>
      <w:szCs w:val="24"/>
      <w:lang w:eastAsia="en-GB"/>
    </w:rPr>
  </w:style>
  <w:style w:type="table" w:styleId="GridTabl">
    <w:name w:val="Table Grid"/>
    <w:aliases w:val="MB tables"/>
    <w:basedOn w:val="TablNormal"/>
    <w:uiPriority w:val="59"/>
    <w:rsid w:val="002C04B8"/>
    <w:pPr>
      <w:spacing w:after="120"/>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rPr>
        <w:rFonts w:ascii="Lucida Sans" w:hAnsi="Lucida Sans"/>
        <w:b/>
        <w:sz w:val="24"/>
      </w:rPr>
      <w:tblPr/>
      <w:trPr>
        <w:tblHeader/>
      </w:trPr>
    </w:tblStylePr>
  </w:style>
  <w:style w:type="table" w:customStyle="1" w:styleId="TableGrid1">
    <w:name w:val="Table Grid1"/>
    <w:basedOn w:val="TablNormal"/>
    <w:next w:val="GridTabl"/>
    <w:uiPriority w:val="59"/>
    <w:rsid w:val="004066C9"/>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unmewnSwigen">
    <w:name w:val="Balloon Text"/>
    <w:basedOn w:val="Normal"/>
    <w:link w:val="TestunmewnSwigenNod"/>
    <w:uiPriority w:val="99"/>
    <w:semiHidden/>
    <w:unhideWhenUsed/>
    <w:rsid w:val="00840E6E"/>
    <w:pPr>
      <w:spacing w:after="0" w:line="240" w:lineRule="auto"/>
    </w:pPr>
    <w:rPr>
      <w:rFonts w:ascii="Tahoma" w:hAnsi="Tahoma" w:cs="Tahoma"/>
      <w:sz w:val="16"/>
      <w:szCs w:val="16"/>
    </w:rPr>
  </w:style>
  <w:style w:type="character" w:customStyle="1" w:styleId="TestunmewnSwigenNod">
    <w:name w:val="Testun mewn Swigen Nod"/>
    <w:basedOn w:val="FfontParagraffDdiofyn"/>
    <w:link w:val="TestunmewnSwigen"/>
    <w:uiPriority w:val="99"/>
    <w:semiHidden/>
    <w:rsid w:val="00840E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w:eastAsiaTheme="minorHAnsi" w:hAnsi="Lucida Sans" w:cstheme="minorBidi"/>
        <w:sz w:val="24"/>
        <w:szCs w:val="22"/>
        <w:lang w:val="en-GB" w:eastAsia="en-US" w:bidi="ar-SA"/>
      </w:rPr>
    </w:rPrDefault>
    <w:pPrDefault>
      <w:pPr>
        <w:spacing w:after="24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Pennawd1">
    <w:name w:val="heading 1"/>
    <w:basedOn w:val="Normal"/>
    <w:next w:val="Normal"/>
    <w:link w:val="Pennawd1Nod"/>
    <w:qFormat/>
    <w:rsid w:val="00062AFF"/>
    <w:pPr>
      <w:outlineLvl w:val="0"/>
    </w:pPr>
    <w:rPr>
      <w:rFonts w:eastAsia="Times New Roman" w:cs="Times New Roman"/>
      <w:b/>
      <w:noProof/>
      <w:sz w:val="32"/>
      <w:szCs w:val="32"/>
      <w:lang w:eastAsia="en-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ennyn">
    <w:name w:val="header"/>
    <w:basedOn w:val="Normal"/>
    <w:link w:val="PennynNod"/>
    <w:uiPriority w:val="99"/>
    <w:unhideWhenUsed/>
    <w:rsid w:val="00062AFF"/>
    <w:pPr>
      <w:tabs>
        <w:tab w:val="center" w:pos="4513"/>
        <w:tab w:val="right" w:pos="9026"/>
      </w:tabs>
      <w:spacing w:after="0" w:line="240" w:lineRule="auto"/>
    </w:pPr>
  </w:style>
  <w:style w:type="character" w:customStyle="1" w:styleId="PennynNod">
    <w:name w:val="Pennyn Nod"/>
    <w:basedOn w:val="FfontParagraffDdiofyn"/>
    <w:link w:val="Pennyn"/>
    <w:uiPriority w:val="99"/>
    <w:rsid w:val="00062AFF"/>
  </w:style>
  <w:style w:type="paragraph" w:styleId="Troedyn">
    <w:name w:val="footer"/>
    <w:basedOn w:val="Normal"/>
    <w:link w:val="TroedynNod"/>
    <w:uiPriority w:val="99"/>
    <w:unhideWhenUsed/>
    <w:rsid w:val="00062AFF"/>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062AFF"/>
  </w:style>
  <w:style w:type="character" w:customStyle="1" w:styleId="Pennawd1Nod">
    <w:name w:val="Pennawd 1 Nod"/>
    <w:basedOn w:val="FfontParagraffDdiofyn"/>
    <w:link w:val="Pennawd1"/>
    <w:rsid w:val="00062AFF"/>
    <w:rPr>
      <w:rFonts w:eastAsia="Times New Roman" w:cs="Times New Roman"/>
      <w:b/>
      <w:noProof/>
      <w:sz w:val="32"/>
      <w:szCs w:val="32"/>
      <w:lang w:eastAsia="en-GB"/>
    </w:rPr>
  </w:style>
  <w:style w:type="paragraph" w:customStyle="1" w:styleId="MBpaperheading">
    <w:name w:val="MB paper heading"/>
    <w:basedOn w:val="Pennawd1"/>
    <w:next w:val="Normal"/>
    <w:qFormat/>
    <w:rsid w:val="00062AFF"/>
    <w:rPr>
      <w:szCs w:val="24"/>
    </w:rPr>
  </w:style>
  <w:style w:type="paragraph" w:styleId="ParagraffRhestr">
    <w:name w:val="List Paragraph"/>
    <w:basedOn w:val="Normal"/>
    <w:uiPriority w:val="34"/>
    <w:qFormat/>
    <w:rsid w:val="00062AFF"/>
    <w:pPr>
      <w:ind w:left="720"/>
      <w:contextualSpacing/>
    </w:pPr>
  </w:style>
  <w:style w:type="paragraph" w:customStyle="1" w:styleId="MBlistparagraph">
    <w:name w:val="MB list paragraph"/>
    <w:basedOn w:val="ParagraffRhestr"/>
    <w:qFormat/>
    <w:rsid w:val="00062AFF"/>
    <w:pPr>
      <w:numPr>
        <w:numId w:val="1"/>
      </w:numPr>
      <w:contextualSpacing w:val="0"/>
    </w:pPr>
    <w:rPr>
      <w:lang w:eastAsia="en-GB"/>
    </w:rPr>
  </w:style>
  <w:style w:type="paragraph" w:customStyle="1" w:styleId="MBbullets">
    <w:name w:val="MB bullets"/>
    <w:basedOn w:val="ParagraffRhestr"/>
    <w:qFormat/>
    <w:rsid w:val="00035E6D"/>
    <w:pPr>
      <w:numPr>
        <w:numId w:val="3"/>
      </w:numPr>
      <w:contextualSpacing w:val="0"/>
    </w:pPr>
  </w:style>
  <w:style w:type="paragraph" w:customStyle="1" w:styleId="ListParagraph1">
    <w:name w:val="List Paragraph1"/>
    <w:basedOn w:val="Normal"/>
    <w:rsid w:val="00035E6D"/>
    <w:pPr>
      <w:numPr>
        <w:ilvl w:val="1"/>
        <w:numId w:val="4"/>
      </w:numPr>
    </w:pPr>
    <w:rPr>
      <w:rFonts w:eastAsia="Times New Roman" w:cs="Times New Roman"/>
      <w:szCs w:val="24"/>
      <w:lang w:eastAsia="en-GB"/>
    </w:rPr>
  </w:style>
  <w:style w:type="table" w:styleId="GridTabl">
    <w:name w:val="Table Grid"/>
    <w:aliases w:val="MB tables"/>
    <w:basedOn w:val="TablNormal"/>
    <w:uiPriority w:val="59"/>
    <w:rsid w:val="002C04B8"/>
    <w:pPr>
      <w:spacing w:after="120"/>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rPr>
        <w:rFonts w:ascii="Lucida Sans" w:hAnsi="Lucida Sans"/>
        <w:b/>
        <w:sz w:val="24"/>
      </w:rPr>
      <w:tblPr/>
      <w:trPr>
        <w:tblHeader/>
      </w:trPr>
    </w:tblStylePr>
  </w:style>
  <w:style w:type="table" w:customStyle="1" w:styleId="TableGrid1">
    <w:name w:val="Table Grid1"/>
    <w:basedOn w:val="TablNormal"/>
    <w:next w:val="GridTabl"/>
    <w:uiPriority w:val="59"/>
    <w:rsid w:val="004066C9"/>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unmewnSwigen">
    <w:name w:val="Balloon Text"/>
    <w:basedOn w:val="Normal"/>
    <w:link w:val="TestunmewnSwigenNod"/>
    <w:uiPriority w:val="99"/>
    <w:semiHidden/>
    <w:unhideWhenUsed/>
    <w:rsid w:val="00840E6E"/>
    <w:pPr>
      <w:spacing w:after="0" w:line="240" w:lineRule="auto"/>
    </w:pPr>
    <w:rPr>
      <w:rFonts w:ascii="Tahoma" w:hAnsi="Tahoma" w:cs="Tahoma"/>
      <w:sz w:val="16"/>
      <w:szCs w:val="16"/>
    </w:rPr>
  </w:style>
  <w:style w:type="character" w:customStyle="1" w:styleId="TestunmewnSwigenNod">
    <w:name w:val="Testun mewn Swigen Nod"/>
    <w:basedOn w:val="FfontParagraffDdiofyn"/>
    <w:link w:val="TestunmewnSwigen"/>
    <w:uiPriority w:val="99"/>
    <w:semiHidden/>
    <w:rsid w:val="00840E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4</Assembly>
  </documentManagement>
</p:properties>
</file>

<file path=customXml/itemProps1.xml><?xml version="1.0" encoding="utf-8"?>
<ds:datastoreItem xmlns:ds="http://schemas.openxmlformats.org/officeDocument/2006/customXml" ds:itemID="{603C54CE-A51F-48A3-B902-AB698D8BC744}"/>
</file>

<file path=customXml/itemProps2.xml><?xml version="1.0" encoding="utf-8"?>
<ds:datastoreItem xmlns:ds="http://schemas.openxmlformats.org/officeDocument/2006/customXml" ds:itemID="{370047E7-4E17-4B25-ACC1-0E6021BD1362}"/>
</file>

<file path=customXml/itemProps3.xml><?xml version="1.0" encoding="utf-8"?>
<ds:datastoreItem xmlns:ds="http://schemas.openxmlformats.org/officeDocument/2006/customXml" ds:itemID="{9C2237DD-FFA1-45DF-BB9F-8BF031379FF4}"/>
</file>

<file path=customXml/itemProps4.xml><?xml version="1.0" encoding="utf-8"?>
<ds:datastoreItem xmlns:ds="http://schemas.openxmlformats.org/officeDocument/2006/customXml" ds:itemID="{3EAC344B-1660-4CA7-A9CD-269D1798C3B5}"/>
</file>

<file path=docProps/app.xml><?xml version="1.0" encoding="utf-8"?>
<Properties xmlns="http://schemas.openxmlformats.org/officeDocument/2006/extended-properties" xmlns:vt="http://schemas.openxmlformats.org/officeDocument/2006/docPropsVTypes">
  <Template>3E4BCD18</Template>
  <TotalTime>0</TotalTime>
  <Pages>8</Pages>
  <Words>1634</Words>
  <Characters>9319</Characters>
  <Application>Microsoft Office Word</Application>
  <DocSecurity>4</DocSecurity>
  <Lines>77</Lines>
  <Paragraphs>21</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RDahl</dc:creator>
  <cp:lastModifiedBy>Saer, Buddug (Assembly – Governance &amp; Audit)</cp:lastModifiedBy>
  <cp:revision>2</cp:revision>
  <cp:lastPrinted>2014-03-25T10:46:00Z</cp:lastPrinted>
  <dcterms:created xsi:type="dcterms:W3CDTF">2014-11-06T13:51:00Z</dcterms:created>
  <dcterms:modified xsi:type="dcterms:W3CDTF">2014-11-06T13:51:00Z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