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Welsh Revenue Authority Annual Report and Accounts for 2020/21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4D473E27" w:rsidR="008A39BF" w:rsidRDefault="00E0632D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 w:rsidR="00183F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8A39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July 2021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4334CB96" w14:textId="77777777" w:rsidR="008A39BF" w:rsidRDefault="008A39BF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61868788" w14:textId="77777777" w:rsidR="00160910" w:rsidRDefault="008A39BF" w:rsidP="00160910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I welcome the publication today of the Welsh Revenue Authority’s (WRA) Annual Report and Accounts for 2020/2021. </w:t>
      </w:r>
      <w:r>
        <w:rPr>
          <w:rFonts w:ascii="Arial" w:eastAsia="Calibri" w:hAnsi="Arial" w:cs="Arial"/>
          <w:sz w:val="24"/>
          <w:szCs w:val="24"/>
        </w:rPr>
        <w:t xml:space="preserve">This report covers the third year of its operation. </w:t>
      </w:r>
      <w:r>
        <w:rPr>
          <w:rFonts w:ascii="Arial" w:eastAsia="Calibri" w:hAnsi="Arial" w:cs="Arial"/>
          <w:sz w:val="24"/>
          <w:szCs w:val="24"/>
        </w:rPr>
        <w:br/>
      </w:r>
    </w:p>
    <w:p w14:paraId="2E3C9AED" w14:textId="2BD9E72E" w:rsidR="008A39BF" w:rsidRPr="00160910" w:rsidRDefault="008A39BF" w:rsidP="00160910">
      <w:pPr>
        <w:shd w:val="clear" w:color="auto" w:fill="FFFFFF"/>
        <w:rPr>
          <w:color w:val="000000" w:themeColor="text1"/>
          <w:sz w:val="24"/>
          <w:szCs w:val="24"/>
        </w:rPr>
      </w:pPr>
      <w:r w:rsidRPr="00160910">
        <w:rPr>
          <w:rFonts w:ascii="Arial" w:hAnsi="Arial" w:cs="Arial"/>
          <w:color w:val="000000" w:themeColor="text1"/>
          <w:sz w:val="24"/>
          <w:szCs w:val="24"/>
        </w:rPr>
        <w:t xml:space="preserve">The WRA has continued to maintain delivery of its services despite the challenges arising from the Covid pandemic. </w:t>
      </w:r>
      <w:r w:rsidR="006F7D01" w:rsidRPr="00160910">
        <w:rPr>
          <w:rFonts w:ascii="Arial" w:hAnsi="Arial" w:cs="Arial"/>
          <w:color w:val="000000" w:themeColor="text1"/>
          <w:sz w:val="24"/>
          <w:szCs w:val="24"/>
        </w:rPr>
        <w:t xml:space="preserve">The Annual Report </w:t>
      </w:r>
      <w:r w:rsidRPr="00160910">
        <w:rPr>
          <w:rFonts w:ascii="Arial" w:hAnsi="Arial" w:cs="Arial"/>
          <w:color w:val="000000" w:themeColor="text1"/>
          <w:sz w:val="24"/>
          <w:szCs w:val="24"/>
        </w:rPr>
        <w:t>provides a wide range of information to show the organisation</w:t>
      </w:r>
      <w:r w:rsidR="00F458A4" w:rsidRPr="00160910">
        <w:rPr>
          <w:rFonts w:ascii="Arial" w:hAnsi="Arial" w:cs="Arial"/>
          <w:color w:val="000000" w:themeColor="text1"/>
          <w:sz w:val="24"/>
          <w:szCs w:val="24"/>
        </w:rPr>
        <w:t>’s achievements</w:t>
      </w:r>
      <w:r w:rsidRPr="001609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5BDF765" w14:textId="77777777" w:rsidR="00160910" w:rsidRDefault="00160910" w:rsidP="00183F7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F3F1E6B" w14:textId="0F0B0B52" w:rsidR="00183F77" w:rsidRDefault="00183F77" w:rsidP="00183F7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WRA, by working with taxpayers and their representatives, focused on adapting their services to</w:t>
      </w:r>
      <w:r w:rsidR="00F458A4">
        <w:rPr>
          <w:rFonts w:ascii="Arial" w:hAnsi="Arial" w:cs="Arial"/>
          <w:sz w:val="24"/>
          <w:szCs w:val="24"/>
        </w:rPr>
        <w:t xml:space="preserve"> improve accessibility </w:t>
      </w:r>
      <w:r>
        <w:rPr>
          <w:rFonts w:ascii="Arial" w:hAnsi="Arial" w:cs="Arial"/>
          <w:sz w:val="24"/>
          <w:szCs w:val="24"/>
        </w:rPr>
        <w:t xml:space="preserve">during a year where people’s circumstances were often changing. </w:t>
      </w:r>
      <w:r w:rsidR="00F458A4">
        <w:rPr>
          <w:rFonts w:ascii="Arial" w:hAnsi="Arial" w:cs="Arial"/>
          <w:sz w:val="24"/>
          <w:szCs w:val="24"/>
        </w:rPr>
        <w:t>The organisation regularly reprioritised and adjusted resources to meet demand, whilst supporting their teams to work at home</w:t>
      </w:r>
      <w:r>
        <w:rPr>
          <w:rFonts w:ascii="Arial" w:hAnsi="Arial" w:cs="Arial"/>
          <w:sz w:val="24"/>
          <w:szCs w:val="24"/>
        </w:rPr>
        <w:t>, for a prolonged period, with increased family commitments.</w:t>
      </w:r>
    </w:p>
    <w:p w14:paraId="48EE1BA3" w14:textId="77777777" w:rsidR="00183F77" w:rsidRDefault="00183F77" w:rsidP="00183F77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337EEF60" w14:textId="48C58CDA" w:rsidR="00183F77" w:rsidRDefault="00183F77" w:rsidP="00183F77">
      <w:pPr>
        <w:spacing w:after="160" w:line="252" w:lineRule="auto"/>
        <w:contextualSpacing/>
        <w:rPr>
          <w:rStyle w:val="normaltextrun"/>
          <w:rFonts w:ascii="Calibri" w:hAnsi="Calibri" w:cs="Calibri"/>
          <w:szCs w:val="22"/>
        </w:rPr>
      </w:pPr>
      <w:r>
        <w:rPr>
          <w:rFonts w:ascii="Arial" w:hAnsi="Arial" w:cs="Arial"/>
          <w:sz w:val="24"/>
          <w:szCs w:val="24"/>
        </w:rPr>
        <w:t xml:space="preserve">The Report reflects the WRA’s continued progress in building its reputation for the assured and competent collection and management of these two taxes. </w:t>
      </w:r>
      <w:r w:rsidR="00F458A4">
        <w:rPr>
          <w:rFonts w:ascii="Arial" w:hAnsi="Arial" w:cs="Arial"/>
          <w:sz w:val="24"/>
          <w:szCs w:val="24"/>
        </w:rPr>
        <w:t>It also</w:t>
      </w:r>
      <w:r>
        <w:rPr>
          <w:rFonts w:ascii="Arial" w:hAnsi="Arial" w:cs="Arial"/>
          <w:sz w:val="24"/>
          <w:szCs w:val="24"/>
        </w:rPr>
        <w:t xml:space="preserve"> demonstrates its resilience in response to two crises (</w:t>
      </w:r>
      <w:r w:rsidR="00F458A4">
        <w:rPr>
          <w:rFonts w:ascii="Arial" w:hAnsi="Arial" w:cs="Arial"/>
          <w:sz w:val="24"/>
          <w:szCs w:val="24"/>
        </w:rPr>
        <w:t>the pandemic</w:t>
      </w:r>
      <w:r>
        <w:rPr>
          <w:rFonts w:ascii="Arial" w:hAnsi="Arial" w:cs="Arial"/>
          <w:sz w:val="24"/>
          <w:szCs w:val="24"/>
        </w:rPr>
        <w:t xml:space="preserve"> and office flooding in February 2020)</w:t>
      </w:r>
      <w:r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3E8FE1C8" w14:textId="59D8B244" w:rsidR="00183F77" w:rsidRDefault="00183F77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124649A2" w14:textId="7872A6C2" w:rsidR="008A39BF" w:rsidRDefault="008A39BF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is a great example of the benefits of devolution – enabling innovation within Wales, creating a Welsh way of doing tax that is delivering better outcomes for taxpayers and also ensuring tax risks are tackled efficiently and effectively. </w:t>
      </w:r>
      <w:r w:rsidR="006F7D01">
        <w:rPr>
          <w:rFonts w:ascii="Arial" w:eastAsia="Calibri" w:hAnsi="Arial" w:cs="Arial"/>
          <w:sz w:val="24"/>
          <w:szCs w:val="24"/>
        </w:rPr>
        <w:t>The taxes the WRA collects are</w:t>
      </w:r>
      <w:r>
        <w:rPr>
          <w:rFonts w:ascii="Arial" w:eastAsia="Calibri" w:hAnsi="Arial" w:cs="Arial"/>
          <w:sz w:val="24"/>
          <w:szCs w:val="24"/>
        </w:rPr>
        <w:t xml:space="preserve"> kept in Wales </w:t>
      </w:r>
      <w:r w:rsidR="006F7D01">
        <w:rPr>
          <w:rFonts w:ascii="Arial" w:eastAsia="Calibri" w:hAnsi="Arial" w:cs="Arial"/>
          <w:sz w:val="24"/>
          <w:szCs w:val="24"/>
        </w:rPr>
        <w:t xml:space="preserve">to be </w:t>
      </w:r>
      <w:r>
        <w:rPr>
          <w:rFonts w:ascii="Arial" w:eastAsia="Calibri" w:hAnsi="Arial" w:cs="Arial"/>
          <w:sz w:val="24"/>
          <w:szCs w:val="24"/>
        </w:rPr>
        <w:t>spent on the people in Wales to help improve our public services.</w:t>
      </w:r>
    </w:p>
    <w:p w14:paraId="2D837A62" w14:textId="77777777" w:rsidR="008A39BF" w:rsidRDefault="008A39BF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7DC7AADB" w14:textId="2A0EBB9E" w:rsidR="008A39BF" w:rsidRDefault="008A39BF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 can access the WRA’s annual report and accounts for 2020/2021 by accessing the below link:</w:t>
      </w:r>
    </w:p>
    <w:p w14:paraId="5516C358" w14:textId="77777777" w:rsidR="00160910" w:rsidRDefault="00160910" w:rsidP="00160910">
      <w:pPr>
        <w:rPr>
          <w:rFonts w:ascii="Arial" w:hAnsi="Arial" w:cs="Arial"/>
          <w:sz w:val="24"/>
          <w:szCs w:val="24"/>
        </w:rPr>
      </w:pPr>
    </w:p>
    <w:p w14:paraId="7B7D39A7" w14:textId="3AF7F24A" w:rsidR="00160910" w:rsidRDefault="00E0632D" w:rsidP="00160910">
      <w:pPr>
        <w:rPr>
          <w:rFonts w:ascii="Arial" w:hAnsi="Arial" w:cs="Arial"/>
          <w:sz w:val="24"/>
          <w:szCs w:val="24"/>
        </w:rPr>
      </w:pPr>
      <w:hyperlink r:id="rId11" w:history="1">
        <w:r w:rsidR="00160910">
          <w:rPr>
            <w:rStyle w:val="Hyperlink"/>
            <w:rFonts w:ascii="Arial" w:hAnsi="Arial" w:cs="Arial"/>
            <w:sz w:val="24"/>
            <w:szCs w:val="24"/>
          </w:rPr>
          <w:t>https://gov.wales/welsh-revenue-authority-annual-report-and-accounts-2020-2021</w:t>
        </w:r>
      </w:hyperlink>
    </w:p>
    <w:p w14:paraId="254E3E95" w14:textId="77777777" w:rsidR="00160910" w:rsidRDefault="00160910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456B0DF2" w14:textId="77777777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97EE" w14:textId="77777777" w:rsidR="00951138" w:rsidRDefault="00951138">
      <w:r>
        <w:separator/>
      </w:r>
    </w:p>
  </w:endnote>
  <w:endnote w:type="continuationSeparator" w:id="0">
    <w:p w14:paraId="3F3121E5" w14:textId="77777777" w:rsidR="00951138" w:rsidRDefault="0095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7A5A621B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9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79AF94D9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0632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8203" w14:textId="77777777" w:rsidR="00951138" w:rsidRDefault="00951138">
      <w:r>
        <w:separator/>
      </w:r>
    </w:p>
  </w:footnote>
  <w:footnote w:type="continuationSeparator" w:id="0">
    <w:p w14:paraId="33FFE294" w14:textId="77777777" w:rsidR="00951138" w:rsidRDefault="0095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4B25"/>
    <w:rsid w:val="00223E62"/>
    <w:rsid w:val="00223F94"/>
    <w:rsid w:val="00243CEB"/>
    <w:rsid w:val="00252F0C"/>
    <w:rsid w:val="0026293B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21314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0632D"/>
    <w:rsid w:val="00E1310B"/>
    <w:rsid w:val="00E1556F"/>
    <w:rsid w:val="00E225F7"/>
    <w:rsid w:val="00E30BE8"/>
    <w:rsid w:val="00E3419E"/>
    <w:rsid w:val="00E47B1A"/>
    <w:rsid w:val="00E631B1"/>
    <w:rsid w:val="00E77669"/>
    <w:rsid w:val="00E83FD5"/>
    <w:rsid w:val="00E85954"/>
    <w:rsid w:val="00E90219"/>
    <w:rsid w:val="00EA1328"/>
    <w:rsid w:val="00EA5290"/>
    <w:rsid w:val="00EB030A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welsh-revenue-authority-annual-report-and-accounts-2020-2021&amp;data=04%7C01%7COwain.Edwards%40gov.wales%7Ca5274e52afef47544d0908d9408ca235%7Ca2cc36c592804ae78887d06dab89216b%7C0%7C0%7C637611795027170638%7CUnknown%7CTWFpbGZsb3d8eyJWIjoiMC4wLjAwMDAiLCJQIjoiV2luMzIiLCJBTiI6Ik1haWwiLCJXVCI6Mn0%3D%7C1000&amp;sdata=HPT%2BfZ29nRPeWVkfk9ZFwe%2Fy777ugqZAj2%2FKmVgxjdg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A35392534</value>
    </field>
    <field name="Objective-Title">
      <value order="0">Written Statement - Doc 2 (english)</value>
    </field>
    <field name="Objective-Description">
      <value order="0"/>
    </field>
    <field name="Objective-CreationStamp">
      <value order="0">2021-07-06T08:26:18Z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2021-07-06T15:20:09Z</value>
    </field>
    <field name="Objective-ModificationStamp">
      <value order="0">2021-07-06T15:20:09Z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- 2018:2021 MA RE 2342-21 Written statement - WRA annual report and accounts publication July 2021</value>
    </field>
    <field name="Objective-Parent">
      <value order="0">2021 MA RE 2342-21 Written statement - WRA annual report and accounts publication July 2021</value>
    </field>
    <field name="Objective-State">
      <value order="0">Published</value>
    </field>
    <field name="Objective-VersionId">
      <value order="0">vA69670532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4B9DE4-57F9-4912-9DA5-B578DD7895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6D2D9-338C-4541-8D0C-FF4B2E3E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3</cp:revision>
  <cp:lastPrinted>2019-02-08T16:42:00Z</cp:lastPrinted>
  <dcterms:created xsi:type="dcterms:W3CDTF">2021-07-07T07:58:00Z</dcterms:created>
  <dcterms:modified xsi:type="dcterms:W3CDTF">2021-07-07T07:59:00Z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A35392534</vt:lpwstr>
  </property>
  <property fmtid="{D5CDD505-2E9C-101B-9397-08002B2CF9AE}" pid="4" name="Objective-Title">
    <vt:lpwstr>Written Statement - Doc 2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2021-07-06T08:26:34Z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2021-07-06T15:20:09Z</vt:filetime>
  </property>
  <property fmtid="{D5CDD505-2E9C-101B-9397-08002B2CF9AE}" pid="10" name="Objective-ModificationStamp">
    <vt:filetime>2021-07-06T15:20:09Z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and Trefnydd - Dec 2</vt:lpwstr>
  </property>
  <property fmtid="{D5CDD505-2E9C-101B-9397-08002B2CF9AE}" pid="13" name="Objective-Parent">
    <vt:lpwstr>2021 MA RE 2342-21 Written statement - WRA annual report and accounts publication July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vA69670532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