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D8FB" w14:textId="77777777" w:rsidR="001A39E2" w:rsidRDefault="001A39E2" w:rsidP="001A39E2">
      <w:pPr>
        <w:jc w:val="right"/>
        <w:rPr>
          <w:b/>
        </w:rPr>
      </w:pPr>
    </w:p>
    <w:p w14:paraId="200DC40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9D84F5" wp14:editId="3702A9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7FD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25951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BD5395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E05C25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DFCF6F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3E0445" wp14:editId="7236D21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158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97391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610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883B1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0494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1749B5" w14:textId="660DF518" w:rsidR="00EA5290" w:rsidRPr="00670227" w:rsidRDefault="00131E7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E7A">
              <w:rPr>
                <w:rFonts w:ascii="Arial" w:hAnsi="Arial" w:cs="Arial"/>
                <w:b/>
                <w:bCs/>
                <w:sz w:val="24"/>
                <w:szCs w:val="24"/>
              </w:rPr>
              <w:t>National Framework for Commissioning Care and Support</w:t>
            </w:r>
          </w:p>
        </w:tc>
      </w:tr>
      <w:tr w:rsidR="00EA5290" w:rsidRPr="00A011A1" w14:paraId="423412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3DD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EE19" w14:textId="0F5B84E8" w:rsidR="00EA5290" w:rsidRPr="00670227" w:rsidRDefault="00A67C8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8C15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E7A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5672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="00A25C63">
              <w:rPr>
                <w:rFonts w:ascii="Arial" w:hAnsi="Arial" w:cs="Arial"/>
                <w:b/>
                <w:bCs/>
                <w:sz w:val="24"/>
                <w:szCs w:val="24"/>
              </w:rPr>
              <w:t>022</w:t>
            </w:r>
            <w:r w:rsidR="00002C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F854B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967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FF70" w14:textId="77777777" w:rsidR="00EA5290" w:rsidRPr="00670227" w:rsidRDefault="0051105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</w:t>
            </w:r>
            <w:r w:rsidR="001C1C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Deputy Minister for Social Services</w:t>
            </w:r>
          </w:p>
        </w:tc>
      </w:tr>
    </w:tbl>
    <w:p w14:paraId="37C05298" w14:textId="77777777" w:rsidR="001C1CF6" w:rsidRDefault="001C1CF6" w:rsidP="00511055">
      <w:pPr>
        <w:spacing w:after="300" w:line="360" w:lineRule="atLeast"/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6C9F6211" w14:textId="4B8AC5CA" w:rsidR="00131E7A" w:rsidRPr="00462B52" w:rsidRDefault="00131E7A" w:rsidP="00172E06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On 21 November 2021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,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I updated Members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about how we would take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forward the legislative proposals in the </w:t>
      </w:r>
      <w:r w:rsidRPr="00105611">
        <w:rPr>
          <w:rFonts w:ascii="Arial" w:hAnsi="Arial" w:cs="Arial"/>
          <w:bCs/>
          <w:i/>
          <w:iCs/>
          <w:color w:val="1F1F1F"/>
          <w:sz w:val="24"/>
          <w:szCs w:val="24"/>
          <w:lang w:val="en"/>
        </w:rPr>
        <w:t>Rebalancing Care and Support White Paper</w:t>
      </w:r>
      <w:r w:rsidR="00C95648">
        <w:rPr>
          <w:rFonts w:ascii="Arial" w:hAnsi="Arial" w:cs="Arial"/>
          <w:bCs/>
          <w:i/>
          <w:iCs/>
          <w:color w:val="1F1F1F"/>
          <w:sz w:val="24"/>
          <w:szCs w:val="24"/>
          <w:lang w:val="en"/>
        </w:rPr>
        <w:t>,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including 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our Programme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for Government commitments to introduce a strategic National Framework for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C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are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and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S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upport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and to legislate to strengthen regional partnership arrangements. I also signalled my intention to establish a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n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ational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o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ffice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within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the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Welsh Government to oversee the implementation of the National Framework. </w:t>
      </w:r>
    </w:p>
    <w:p w14:paraId="4D91D0D1" w14:textId="77777777" w:rsidR="00131E7A" w:rsidRPr="00462B52" w:rsidRDefault="00131E7A" w:rsidP="00172E06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</w:p>
    <w:p w14:paraId="300100AD" w14:textId="68978A71" w:rsidR="00DD6D81" w:rsidRPr="00462B52" w:rsidRDefault="00131E7A" w:rsidP="00C0683B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Following this, the Rebalancing Care and Support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p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rogramme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was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set up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to deliver these commitments and ensure alignment to other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g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overnment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commitments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,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including the Fair Work Forum, </w:t>
      </w:r>
      <w:r w:rsidR="00C0683B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removing profit from the care of looked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-</w:t>
      </w:r>
      <w:r w:rsidR="00C0683B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after children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,</w:t>
      </w:r>
      <w:r w:rsidR="00C0683B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the Social Partnership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and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Public Procurement (Wales) Bill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and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the UK </w:t>
      </w:r>
      <w:r w:rsidR="00C0683B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Government’s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Procurement Bill</w:t>
      </w:r>
      <w:r w:rsidR="00C0683B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.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</w:p>
    <w:p w14:paraId="24C47266" w14:textId="7DC6C37F" w:rsidR="00131E7A" w:rsidRPr="00462B52" w:rsidRDefault="00131E7A" w:rsidP="00172E06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</w:p>
    <w:p w14:paraId="14169740" w14:textId="48BBC55F" w:rsidR="00131E7A" w:rsidRPr="00462B52" w:rsidRDefault="00C0683B" w:rsidP="00FE1B62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A</w:t>
      </w:r>
      <w:r w:rsidR="00131E7A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t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echnical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g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roup </w:t>
      </w:r>
      <w:r w:rsidR="00131E7A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was established last December to consider and provide recommendations on the content of the National Framework. Members included key partner organisations and stakeholders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,</w:t>
      </w:r>
      <w:r w:rsidR="00131E7A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including commissioners, planners and providers of care and support services. I have now received the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t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echnical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g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roup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’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s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r</w:t>
      </w:r>
      <w:r w:rsidR="00131E7A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eport containing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26</w:t>
      </w:r>
      <w:r w:rsidR="00131E7A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recommendations for the 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proposed</w:t>
      </w:r>
      <w:r w:rsidR="00131E7A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content of the National Framework. I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want to </w:t>
      </w:r>
      <w:r w:rsidR="00131E7A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thank members for their time, commitment, 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experience</w:t>
      </w:r>
      <w:r w:rsidR="00131E7A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and expertise in developing this crucial 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and complex </w:t>
      </w:r>
      <w:r w:rsidR="00131E7A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policy. </w:t>
      </w:r>
    </w:p>
    <w:p w14:paraId="0BB25228" w14:textId="530680A7" w:rsidR="00131E7A" w:rsidRPr="00462B52" w:rsidRDefault="00131E7A" w:rsidP="00FE1B62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</w:p>
    <w:p w14:paraId="7D0E73F1" w14:textId="20A9CB9F" w:rsidR="00131E7A" w:rsidRPr="00462B52" w:rsidRDefault="00131E7A" w:rsidP="00FE1B62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The National Framework for Commissioning Care and Support will be set out in a statutory Code of Practice. This will be issued jointly under the Social Services and Well-being (Wales) Act 2014 and as guidance under the NHS (Wales) Act 200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6.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M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y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officials will now begin the iterative process 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of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produc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ing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the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d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raft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c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ode 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of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p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ractice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,</w:t>
      </w:r>
      <w:r w:rsidR="00C95648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  <w:r w:rsidR="00C0683B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which we intend to consult on next year. </w:t>
      </w:r>
    </w:p>
    <w:p w14:paraId="0DF66BCB" w14:textId="27F34034" w:rsidR="00FE1B62" w:rsidRPr="00462B52" w:rsidRDefault="00FE1B62" w:rsidP="00FE1B62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</w:p>
    <w:p w14:paraId="5552125E" w14:textId="22F61999" w:rsidR="00C95648" w:rsidRPr="00462B52" w:rsidRDefault="00C95648" w:rsidP="00FE1B62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We will continue to 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engage with the sector and citizens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as we 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develop</w:t>
      </w:r>
      <w:r w:rsidR="00C0683B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the National Framework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. A 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small group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>,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made up of members of the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>t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echnical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>g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roup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>, will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be set up to 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co-produce this policy. </w:t>
      </w:r>
      <w:r w:rsidR="00131E7A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The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>t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echnical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>g</w:t>
      </w:r>
      <w:r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roup </w:t>
      </w:r>
      <w:r w:rsidR="00131E7A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>may also discuss significant policy developments</w:t>
      </w:r>
      <w:r w:rsidR="00FE1B62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as this next phase of work progresses. </w:t>
      </w:r>
      <w:r w:rsidR="00131E7A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</w:p>
    <w:p w14:paraId="2B0EF2B7" w14:textId="5C646106" w:rsidR="00732204" w:rsidRPr="002C0FA5" w:rsidRDefault="00C95648" w:rsidP="00C95648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  <w:r>
        <w:rPr>
          <w:rFonts w:ascii="Arial" w:hAnsi="Arial" w:cs="Arial"/>
          <w:bCs/>
          <w:color w:val="1F1F1F"/>
          <w:sz w:val="24"/>
          <w:szCs w:val="24"/>
          <w:lang w:val="en"/>
        </w:rPr>
        <w:lastRenderedPageBreak/>
        <w:t>The t</w:t>
      </w:r>
      <w:r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echnical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>g</w:t>
      </w:r>
      <w:r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roup’s 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work has run in parallel </w:t>
      </w:r>
      <w:r w:rsidR="00605B69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with the work of the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>e</w:t>
      </w:r>
      <w:r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xpert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>g</w:t>
      </w:r>
      <w:r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roup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, which was set up to explore how we could take forward the Co-operation Agreement commitment </w:t>
      </w:r>
      <w:r w:rsidRPr="00C95648">
        <w:rPr>
          <w:rFonts w:ascii="Arial" w:hAnsi="Arial" w:cs="Arial"/>
          <w:bCs/>
          <w:color w:val="1F1F1F"/>
          <w:sz w:val="24"/>
          <w:szCs w:val="24"/>
          <w:lang w:val="en"/>
        </w:rPr>
        <w:t>to create a National Care Service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.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The Plaid Cymru Designated Member </w:t>
      </w:r>
      <w:r w:rsidR="00732204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Cefin Campbell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and I</w:t>
      </w:r>
      <w:r w:rsidR="00732204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are considering the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>e</w:t>
      </w:r>
      <w:r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xpert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>g</w:t>
      </w:r>
      <w:r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roup’s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comprehensive </w:t>
      </w:r>
      <w:r w:rsidR="00732204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report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and recommendations</w:t>
      </w:r>
      <w:r w:rsidR="00462B52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. </w:t>
      </w:r>
    </w:p>
    <w:p w14:paraId="567F22BD" w14:textId="6FFD2126" w:rsidR="00732204" w:rsidRPr="002C0FA5" w:rsidRDefault="00732204" w:rsidP="00732204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</w:p>
    <w:p w14:paraId="25B0E33B" w14:textId="08E50265" w:rsidR="00E20088" w:rsidRPr="002C0FA5" w:rsidRDefault="00C95648" w:rsidP="00732204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The 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extensive </w:t>
      </w:r>
      <w:r w:rsidR="00462B52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work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and recommendations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undertaken by 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both groups are based on</w:t>
      </w:r>
      <w:r w:rsidR="00732204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and borne out of the intrinsic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values, principles, and vision of the Social Services and Well-being (Wales) Act 2014.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There 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is a </w:t>
      </w:r>
      <w:r w:rsidR="00462B52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direct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alignment and synergy across both 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sets of 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recommendations</w:t>
      </w:r>
      <w:r>
        <w:rPr>
          <w:rFonts w:ascii="Arial" w:hAnsi="Arial" w:cs="Arial"/>
          <w:bCs/>
          <w:color w:val="1F1F1F"/>
          <w:sz w:val="24"/>
          <w:szCs w:val="24"/>
          <w:lang w:val="en"/>
        </w:rPr>
        <w:t>,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which I believe provides assurance that the development and implementation of the National Framework provide</w:t>
      </w:r>
      <w:r w:rsidR="00B218B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s the 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first</w:t>
      </w:r>
      <w:r w:rsidR="00B218B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significant step</w:t>
      </w:r>
      <w:r w:rsidR="00B218B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s</w:t>
      </w:r>
      <w:r w:rsidR="00E2008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towards the realisation of a National Care and Support Service</w:t>
      </w:r>
      <w:r w:rsidR="00B218B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.</w:t>
      </w:r>
      <w:r w:rsidR="00732204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</w:p>
    <w:p w14:paraId="4C8F892A" w14:textId="398DFAF5" w:rsidR="00732204" w:rsidRPr="002C0FA5" w:rsidRDefault="00732204" w:rsidP="00732204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</w:p>
    <w:p w14:paraId="5873E68D" w14:textId="3588F3A0" w:rsidR="00172E06" w:rsidRPr="00462B52" w:rsidRDefault="00462B52" w:rsidP="00462B52">
      <w:pPr>
        <w:rPr>
          <w:rFonts w:ascii="Arial" w:hAnsi="Arial" w:cs="Arial"/>
          <w:bCs/>
          <w:color w:val="1F1F1F"/>
          <w:sz w:val="24"/>
          <w:szCs w:val="24"/>
          <w:lang w:val="en"/>
        </w:rPr>
      </w:pPr>
      <w:r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I will</w:t>
      </w:r>
      <w:r w:rsidR="00FE1B62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  <w:r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be making</w:t>
      </w:r>
      <w:r w:rsidR="00FE1B62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a further statement in the new year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about </w:t>
      </w:r>
      <w:r w:rsidR="00C9564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how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we intend to take the e</w:t>
      </w:r>
      <w:r w:rsidR="00C9564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xpert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g</w:t>
      </w:r>
      <w:r w:rsidR="00C9564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roup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’</w:t>
      </w:r>
      <w:r w:rsidR="00C9564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s recommendations forward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and </w:t>
      </w:r>
      <w:r w:rsidR="00C0683B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the </w:t>
      </w:r>
      <w:r w:rsidR="00B218B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next steps for the </w:t>
      </w:r>
      <w:r w:rsidR="00C0683B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Rebalancing Care and Support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p</w:t>
      </w:r>
      <w:r w:rsidR="00C9564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rogramme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,</w:t>
      </w:r>
      <w:r w:rsidR="00C9564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  <w:r w:rsidR="00B218B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including</w:t>
      </w:r>
      <w:r w:rsidR="00FE1B62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more detailed timings </w:t>
      </w:r>
      <w:r w:rsidR="00C95648">
        <w:rPr>
          <w:rFonts w:ascii="Arial" w:hAnsi="Arial" w:cs="Arial"/>
          <w:bCs/>
          <w:color w:val="1F1F1F"/>
          <w:sz w:val="24"/>
          <w:szCs w:val="24"/>
          <w:lang w:val="en"/>
        </w:rPr>
        <w:t>for the c</w:t>
      </w:r>
      <w:r w:rsidR="00C95648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onsultation</w:t>
      </w:r>
      <w:r w:rsidR="000B5A18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about the draft code of practice</w:t>
      </w:r>
      <w:r w:rsidR="00C0683B" w:rsidRPr="002C0FA5">
        <w:rPr>
          <w:rFonts w:ascii="Arial" w:hAnsi="Arial" w:cs="Arial"/>
          <w:bCs/>
          <w:color w:val="1F1F1F"/>
          <w:sz w:val="24"/>
          <w:szCs w:val="24"/>
          <w:lang w:val="en"/>
        </w:rPr>
        <w:t>.</w:t>
      </w:r>
      <w:r w:rsidR="00C0683B" w:rsidRPr="00462B52">
        <w:rPr>
          <w:rFonts w:ascii="Arial" w:hAnsi="Arial" w:cs="Arial"/>
          <w:bCs/>
          <w:color w:val="1F1F1F"/>
          <w:sz w:val="24"/>
          <w:szCs w:val="24"/>
          <w:lang w:val="en"/>
        </w:rPr>
        <w:t xml:space="preserve"> </w:t>
      </w:r>
    </w:p>
    <w:p w14:paraId="267F1D8E" w14:textId="77777777" w:rsidR="00EA5290" w:rsidRPr="00511055" w:rsidRDefault="00EA5290" w:rsidP="00EA5290">
      <w:pPr>
        <w:rPr>
          <w:rFonts w:ascii="Arial" w:hAnsi="Arial"/>
          <w:b/>
          <w:color w:val="FF0000"/>
          <w:sz w:val="24"/>
          <w:szCs w:val="24"/>
        </w:rPr>
      </w:pPr>
    </w:p>
    <w:sectPr w:rsidR="00EA5290" w:rsidRPr="00511055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CFD0" w14:textId="77777777" w:rsidR="00702008" w:rsidRDefault="00702008">
      <w:r>
        <w:separator/>
      </w:r>
    </w:p>
  </w:endnote>
  <w:endnote w:type="continuationSeparator" w:id="0">
    <w:p w14:paraId="3D8C71AA" w14:textId="77777777" w:rsidR="00702008" w:rsidRDefault="0070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B526" w14:textId="49CF9CB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8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5C4B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ED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D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159FA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1F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B3D2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B24DB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5B43" w14:textId="77777777" w:rsidR="00702008" w:rsidRDefault="00702008">
      <w:r>
        <w:separator/>
      </w:r>
    </w:p>
  </w:footnote>
  <w:footnote w:type="continuationSeparator" w:id="0">
    <w:p w14:paraId="18F58C46" w14:textId="77777777" w:rsidR="00702008" w:rsidRDefault="0070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512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5F98C1" wp14:editId="3F73E4A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5E22A" w14:textId="77777777" w:rsidR="00DD4B82" w:rsidRDefault="00DD4B82">
    <w:pPr>
      <w:pStyle w:val="Header"/>
    </w:pPr>
  </w:p>
  <w:p w14:paraId="59524A6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44E3B"/>
    <w:multiLevelType w:val="multilevel"/>
    <w:tmpl w:val="F1F00B1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0759CE"/>
    <w:multiLevelType w:val="hybridMultilevel"/>
    <w:tmpl w:val="09CE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5A5E2D"/>
    <w:multiLevelType w:val="hybridMultilevel"/>
    <w:tmpl w:val="790C3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873537">
    <w:abstractNumId w:val="0"/>
  </w:num>
  <w:num w:numId="2" w16cid:durableId="1454713870">
    <w:abstractNumId w:val="2"/>
  </w:num>
  <w:num w:numId="3" w16cid:durableId="1490513453">
    <w:abstractNumId w:val="3"/>
  </w:num>
  <w:num w:numId="4" w16cid:durableId="2046246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CAB"/>
    <w:rsid w:val="00023B69"/>
    <w:rsid w:val="00023BFC"/>
    <w:rsid w:val="00032928"/>
    <w:rsid w:val="000516D9"/>
    <w:rsid w:val="0006774B"/>
    <w:rsid w:val="0007360D"/>
    <w:rsid w:val="00082B81"/>
    <w:rsid w:val="00090C3D"/>
    <w:rsid w:val="000924BE"/>
    <w:rsid w:val="00097118"/>
    <w:rsid w:val="000B3D2C"/>
    <w:rsid w:val="000B5A18"/>
    <w:rsid w:val="000C3A52"/>
    <w:rsid w:val="000C53DB"/>
    <w:rsid w:val="000C5E9B"/>
    <w:rsid w:val="000D09D1"/>
    <w:rsid w:val="000D47BB"/>
    <w:rsid w:val="00105104"/>
    <w:rsid w:val="00105611"/>
    <w:rsid w:val="00131E7A"/>
    <w:rsid w:val="00134918"/>
    <w:rsid w:val="001460B1"/>
    <w:rsid w:val="0017102C"/>
    <w:rsid w:val="00172E06"/>
    <w:rsid w:val="001A39E2"/>
    <w:rsid w:val="001A427C"/>
    <w:rsid w:val="001A6AF1"/>
    <w:rsid w:val="001B027C"/>
    <w:rsid w:val="001B288D"/>
    <w:rsid w:val="001C1CF6"/>
    <w:rsid w:val="001C532F"/>
    <w:rsid w:val="001D7700"/>
    <w:rsid w:val="001E05EA"/>
    <w:rsid w:val="001E53BF"/>
    <w:rsid w:val="00214B25"/>
    <w:rsid w:val="00223E62"/>
    <w:rsid w:val="00251DA6"/>
    <w:rsid w:val="00261973"/>
    <w:rsid w:val="00272C10"/>
    <w:rsid w:val="00274F08"/>
    <w:rsid w:val="002A5310"/>
    <w:rsid w:val="002B1B89"/>
    <w:rsid w:val="002C0FA5"/>
    <w:rsid w:val="002C57B6"/>
    <w:rsid w:val="002C65F4"/>
    <w:rsid w:val="002F0EB9"/>
    <w:rsid w:val="002F33B9"/>
    <w:rsid w:val="002F53A9"/>
    <w:rsid w:val="00300684"/>
    <w:rsid w:val="0031446B"/>
    <w:rsid w:val="00314E36"/>
    <w:rsid w:val="003220C1"/>
    <w:rsid w:val="003269BD"/>
    <w:rsid w:val="00356D7B"/>
    <w:rsid w:val="00357893"/>
    <w:rsid w:val="003670C1"/>
    <w:rsid w:val="00370471"/>
    <w:rsid w:val="003B1503"/>
    <w:rsid w:val="003B21B7"/>
    <w:rsid w:val="003B3D64"/>
    <w:rsid w:val="003B4E16"/>
    <w:rsid w:val="003B522A"/>
    <w:rsid w:val="003C23BA"/>
    <w:rsid w:val="003C4A66"/>
    <w:rsid w:val="003C5133"/>
    <w:rsid w:val="003D0CEB"/>
    <w:rsid w:val="00412673"/>
    <w:rsid w:val="0043031D"/>
    <w:rsid w:val="00462B52"/>
    <w:rsid w:val="0046757C"/>
    <w:rsid w:val="00467BD8"/>
    <w:rsid w:val="00474341"/>
    <w:rsid w:val="004A469B"/>
    <w:rsid w:val="004C069D"/>
    <w:rsid w:val="00511055"/>
    <w:rsid w:val="00560F1F"/>
    <w:rsid w:val="00567269"/>
    <w:rsid w:val="00574BB3"/>
    <w:rsid w:val="005A22E2"/>
    <w:rsid w:val="005A7B13"/>
    <w:rsid w:val="005B030B"/>
    <w:rsid w:val="005C4FCF"/>
    <w:rsid w:val="005C67F2"/>
    <w:rsid w:val="005D212D"/>
    <w:rsid w:val="005D2A41"/>
    <w:rsid w:val="005D7663"/>
    <w:rsid w:val="005F1659"/>
    <w:rsid w:val="00603548"/>
    <w:rsid w:val="0060526F"/>
    <w:rsid w:val="00605B69"/>
    <w:rsid w:val="0063022C"/>
    <w:rsid w:val="006304D8"/>
    <w:rsid w:val="00654C0A"/>
    <w:rsid w:val="006633C7"/>
    <w:rsid w:val="00663F04"/>
    <w:rsid w:val="00670227"/>
    <w:rsid w:val="006738FD"/>
    <w:rsid w:val="006814BD"/>
    <w:rsid w:val="0069133F"/>
    <w:rsid w:val="006A3CAB"/>
    <w:rsid w:val="006B340E"/>
    <w:rsid w:val="006B461D"/>
    <w:rsid w:val="006D75CA"/>
    <w:rsid w:val="006E0A2C"/>
    <w:rsid w:val="006E0F4D"/>
    <w:rsid w:val="00702008"/>
    <w:rsid w:val="00703993"/>
    <w:rsid w:val="00723791"/>
    <w:rsid w:val="00732204"/>
    <w:rsid w:val="0073380E"/>
    <w:rsid w:val="00743B79"/>
    <w:rsid w:val="007523BC"/>
    <w:rsid w:val="00752C48"/>
    <w:rsid w:val="00793979"/>
    <w:rsid w:val="007A05FB"/>
    <w:rsid w:val="007B03B0"/>
    <w:rsid w:val="007B5260"/>
    <w:rsid w:val="007C24E7"/>
    <w:rsid w:val="007D1402"/>
    <w:rsid w:val="007F5E64"/>
    <w:rsid w:val="00800FA0"/>
    <w:rsid w:val="00812370"/>
    <w:rsid w:val="0082411A"/>
    <w:rsid w:val="00833F5B"/>
    <w:rsid w:val="00841628"/>
    <w:rsid w:val="00846160"/>
    <w:rsid w:val="0086448B"/>
    <w:rsid w:val="00877BD2"/>
    <w:rsid w:val="00893AB2"/>
    <w:rsid w:val="008B7927"/>
    <w:rsid w:val="008C155F"/>
    <w:rsid w:val="008D1E0B"/>
    <w:rsid w:val="008F0CC6"/>
    <w:rsid w:val="008F789E"/>
    <w:rsid w:val="00905771"/>
    <w:rsid w:val="00920F4C"/>
    <w:rsid w:val="00923B68"/>
    <w:rsid w:val="00925169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25C63"/>
    <w:rsid w:val="00A3033F"/>
    <w:rsid w:val="00A3247B"/>
    <w:rsid w:val="00A464FD"/>
    <w:rsid w:val="00A556E7"/>
    <w:rsid w:val="00A67C88"/>
    <w:rsid w:val="00A72CF3"/>
    <w:rsid w:val="00A82A45"/>
    <w:rsid w:val="00A845A9"/>
    <w:rsid w:val="00A86958"/>
    <w:rsid w:val="00AA5651"/>
    <w:rsid w:val="00AA5848"/>
    <w:rsid w:val="00AA6FC5"/>
    <w:rsid w:val="00AA7750"/>
    <w:rsid w:val="00AD2C0E"/>
    <w:rsid w:val="00AD65F1"/>
    <w:rsid w:val="00AE064D"/>
    <w:rsid w:val="00AF056B"/>
    <w:rsid w:val="00B049B1"/>
    <w:rsid w:val="00B218B8"/>
    <w:rsid w:val="00B239BA"/>
    <w:rsid w:val="00B468BB"/>
    <w:rsid w:val="00B76791"/>
    <w:rsid w:val="00B81F17"/>
    <w:rsid w:val="00BA5A75"/>
    <w:rsid w:val="00C0683B"/>
    <w:rsid w:val="00C371AD"/>
    <w:rsid w:val="00C43B4A"/>
    <w:rsid w:val="00C648F8"/>
    <w:rsid w:val="00C64FA5"/>
    <w:rsid w:val="00C84336"/>
    <w:rsid w:val="00C84A12"/>
    <w:rsid w:val="00C95648"/>
    <w:rsid w:val="00CA3189"/>
    <w:rsid w:val="00CB5B4B"/>
    <w:rsid w:val="00CE175C"/>
    <w:rsid w:val="00CF3DC5"/>
    <w:rsid w:val="00CF609B"/>
    <w:rsid w:val="00D017E2"/>
    <w:rsid w:val="00D16D97"/>
    <w:rsid w:val="00D268A3"/>
    <w:rsid w:val="00D27F42"/>
    <w:rsid w:val="00D83FD1"/>
    <w:rsid w:val="00D84713"/>
    <w:rsid w:val="00DA33C4"/>
    <w:rsid w:val="00DD4B82"/>
    <w:rsid w:val="00DD6D81"/>
    <w:rsid w:val="00E1556F"/>
    <w:rsid w:val="00E20088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42645"/>
    <w:rsid w:val="00F81C33"/>
    <w:rsid w:val="00F844AE"/>
    <w:rsid w:val="00F923C2"/>
    <w:rsid w:val="00F97613"/>
    <w:rsid w:val="00FD332C"/>
    <w:rsid w:val="00FE1B6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8466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00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51105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A5A7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6E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131E7A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E7A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31E7A"/>
    <w:rPr>
      <w:vertAlign w:val="superscript"/>
    </w:rPr>
  </w:style>
  <w:style w:type="paragraph" w:customStyle="1" w:styleId="MAPara">
    <w:name w:val="MA Para"/>
    <w:basedOn w:val="ListParagraph"/>
    <w:link w:val="MAParaChar"/>
    <w:qFormat/>
    <w:rsid w:val="00131E7A"/>
    <w:pPr>
      <w:ind w:left="851" w:hanging="851"/>
      <w:contextualSpacing/>
    </w:pPr>
    <w:rPr>
      <w:rFonts w:ascii="Arial" w:eastAsiaTheme="minorHAnsi" w:hAnsi="Arial" w:cs="Arial"/>
      <w:sz w:val="24"/>
      <w:szCs w:val="24"/>
    </w:rPr>
  </w:style>
  <w:style w:type="character" w:customStyle="1" w:styleId="MAParaChar">
    <w:name w:val="MA Para Char"/>
    <w:basedOn w:val="DefaultParagraphFont"/>
    <w:link w:val="MAPara"/>
    <w:rsid w:val="00131E7A"/>
    <w:rPr>
      <w:rFonts w:ascii="Arial" w:eastAsiaTheme="minorHAnsi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E1B6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1B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1B6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1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1B62"/>
    <w:rPr>
      <w:rFonts w:ascii="TradeGothic" w:hAnsi="TradeGothic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200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45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35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3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8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930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88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12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858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946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55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172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146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3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12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495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A43113271</value>
    </field>
    <field name="Objective-Title">
      <value order="0">Doc 2 - MA/JMSS/3582/22 - National Framework for Commissioning Care and Support - Technical Group Recommendations Report -  Draft Written Statement</value>
    </field>
    <field name="Objective-Description">
      <value order="0"/>
    </field>
    <field name="Objective-CreationStamp">
      <value order="0">2022-11-08T16:02:50Z</value>
    </field>
    <field name="Objective-IsApproved">
      <value order="0">false</value>
    </field>
    <field name="Objective-IsPublished">
      <value order="0">true</value>
    </field>
    <field name="Objective-DatePublished">
      <value order="0">2022-12-12T15:59:18Z</value>
    </field>
    <field name="Objective-ModificationStamp">
      <value order="0">2022-12-12T15:59:18Z</value>
    </field>
    <field name="Objective-Owner">
      <value order="0">Snell, Timothy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- 2022:MA/JMSS/3582/22 - National Framework for Commissioning Care and Support - Technical Group Recommendations Report</value>
    </field>
    <field name="Objective-Parent">
      <value order="0">MA/JMSS/3582/22 - National Framework for Commissioning Care and Support - Technical Group Recommendations Report</value>
    </field>
    <field name="Objective-State">
      <value order="0">Published</value>
    </field>
    <field name="Objective-VersionId">
      <value order="0">vA82606729</value>
    </field>
    <field name="Objective-Version">
      <value order="0">15.0</value>
    </field>
    <field name="Objective-VersionNumber">
      <value order="0">15</value>
    </field>
    <field name="Objective-VersionComment">
      <value order="0"/>
    </field>
    <field name="Objective-FileNumber">
      <value order="0">qA1504406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6678241-5895-4E2A-9CD1-EACA88773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2022-12-13T15:51:00Z</dcterms:created>
  <dcterms:modified xsi:type="dcterms:W3CDTF">2022-12-13T15:51:00Z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A43113271</vt:lpwstr>
  </property>
  <property fmtid="{D5CDD505-2E9C-101B-9397-08002B2CF9AE}" pid="4" name="Objective-Title">
    <vt:lpwstr>Doc 2 - MA/JMSS/3582/22 - National Framework for Commissioning Care and Support - Technical Group Recommendations Report -  Draft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2022-11-29T17:21:28Z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2022-12-12T15:59:18Z</vt:filetime>
  </property>
  <property fmtid="{D5CDD505-2E9C-101B-9397-08002B2CF9AE}" pid="10" name="Objective-ModificationStamp">
    <vt:filetime>2022-12-12T15:59:18Z</vt:filetime>
  </property>
  <property fmtid="{D5CDD505-2E9C-101B-9397-08002B2CF9AE}" pid="11" name="Objective-Owner">
    <vt:lpwstr>Snell, Timothy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- 2022:MA/JMSS/3582/22 - National Framework for Commissioning Care and Support - Technical Group Recommendations Report:</vt:lpwstr>
  </property>
  <property fmtid="{D5CDD505-2E9C-101B-9397-08002B2CF9AE}" pid="13" name="Objective-Parent">
    <vt:lpwstr>MA/JMSS/3582/22 - National Framework for Commissioning Care and Support - Technical Group Recommendations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qA1504406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vA82606729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