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259D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3FC39688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1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72B67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44CF3359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5BF1ACAE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617A76C3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52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A39BF" w14:paraId="67F8E70B" w14:textId="77777777" w:rsidTr="008A39BF">
        <w:tc>
          <w:tcPr>
            <w:tcW w:w="1383" w:type="dxa"/>
            <w:vAlign w:val="center"/>
          </w:tcPr>
          <w:p w14:paraId="40F4A1EF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3F5239F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vAlign w:val="center"/>
          </w:tcPr>
          <w:p w14:paraId="6E643D69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694DD42" w14:textId="31AB79EA" w:rsidR="008A39BF" w:rsidRDefault="00211AEE" w:rsidP="00273AB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2A45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ublication of Welsh rates of income tax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outturn statistics </w:t>
            </w:r>
            <w:r w:rsidR="002A45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39BF" w14:paraId="5F3BCFB5" w14:textId="77777777" w:rsidTr="008A39BF">
        <w:tc>
          <w:tcPr>
            <w:tcW w:w="1383" w:type="dxa"/>
            <w:vAlign w:val="center"/>
            <w:hideMark/>
          </w:tcPr>
          <w:p w14:paraId="52C4886E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vAlign w:val="center"/>
            <w:hideMark/>
          </w:tcPr>
          <w:p w14:paraId="58B2D254" w14:textId="4B4495D5" w:rsidR="008A39BF" w:rsidRDefault="0029484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22 </w:t>
            </w:r>
            <w:r w:rsidR="001028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July </w:t>
            </w:r>
            <w:r w:rsidR="00FE60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8A39BF" w14:paraId="64E5412A" w14:textId="77777777" w:rsidTr="008A39BF">
        <w:tc>
          <w:tcPr>
            <w:tcW w:w="1383" w:type="dxa"/>
            <w:vAlign w:val="center"/>
            <w:hideMark/>
          </w:tcPr>
          <w:p w14:paraId="149C41E0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4997F029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MS, </w:t>
            </w:r>
            <w:r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Minister for Finance and Local Government </w:t>
            </w:r>
          </w:p>
        </w:tc>
      </w:tr>
    </w:tbl>
    <w:p w14:paraId="4A01D427" w14:textId="77777777" w:rsidR="008A39BF" w:rsidRDefault="008A39BF" w:rsidP="008A39BF">
      <w:pPr>
        <w:pStyle w:val="BodyText"/>
        <w:jc w:val="left"/>
        <w:rPr>
          <w:rFonts w:cs="Arial"/>
          <w:b w:val="0"/>
          <w:color w:val="000000" w:themeColor="text1"/>
          <w:szCs w:val="24"/>
          <w:lang w:val="en-US"/>
        </w:rPr>
      </w:pPr>
    </w:p>
    <w:p w14:paraId="4334CB96" w14:textId="77777777" w:rsidR="008A39BF" w:rsidRDefault="008A39BF" w:rsidP="008A39BF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511BDFFA" w14:textId="1D309A10" w:rsidR="00EB0A4C" w:rsidRDefault="00FE60ED" w:rsidP="00FE60ED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hyperlink r:id="rId11" w:history="1">
        <w:r w:rsidR="00EB0A4C" w:rsidRPr="00FE60ED">
          <w:rPr>
            <w:rStyle w:val="Hyperlink"/>
            <w:rFonts w:ascii="Arial" w:hAnsi="Arial" w:cs="Arial"/>
            <w:sz w:val="24"/>
            <w:szCs w:val="24"/>
          </w:rPr>
          <w:t xml:space="preserve">HMRC has today (22 July) published </w:t>
        </w:r>
        <w:r w:rsidR="00626865" w:rsidRPr="00FE60ED">
          <w:rPr>
            <w:rStyle w:val="Hyperlink"/>
            <w:rFonts w:ascii="Arial" w:hAnsi="Arial" w:cs="Arial"/>
            <w:sz w:val="24"/>
            <w:szCs w:val="24"/>
          </w:rPr>
          <w:t>the f</w:t>
        </w:r>
        <w:r w:rsidR="00626865" w:rsidRPr="00FE60E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irst </w:t>
        </w:r>
        <w:r w:rsidR="00EB0A4C" w:rsidRPr="00FE60E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ever set </w:t>
        </w:r>
        <w:r w:rsidR="00626865" w:rsidRPr="00FE60E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of </w:t>
        </w:r>
        <w:r w:rsidR="00211AEE" w:rsidRPr="00FE60E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outturn </w:t>
        </w:r>
        <w:r w:rsidR="00626865" w:rsidRPr="00FE60E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statistics relating to </w:t>
        </w:r>
        <w:r w:rsidR="00EB0A4C" w:rsidRPr="00FE60E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the Welsh rates of </w:t>
        </w:r>
        <w:r w:rsidR="00626865" w:rsidRPr="00FE60E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income tax</w:t>
        </w:r>
        <w:r w:rsidRPr="00FE60E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(external link)</w:t>
        </w:r>
      </w:hyperlink>
      <w:bookmarkStart w:id="0" w:name="_GoBack"/>
      <w:bookmarkEnd w:id="0"/>
      <w:r w:rsidR="00EB0A4C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, marking </w:t>
      </w:r>
      <w:r w:rsidR="00EB0A4C" w:rsidRPr="00102829">
        <w:rPr>
          <w:rFonts w:ascii="Arial" w:hAnsi="Arial" w:cs="Arial"/>
          <w:color w:val="0B0C0C"/>
          <w:sz w:val="24"/>
          <w:szCs w:val="24"/>
          <w:shd w:val="clear" w:color="auto" w:fill="FFFFFF"/>
        </w:rPr>
        <w:t>another important step in the tax devolution process in Wales.</w:t>
      </w:r>
    </w:p>
    <w:p w14:paraId="33F70C38" w14:textId="77777777" w:rsidR="00FE60ED" w:rsidRPr="00102829" w:rsidRDefault="00FE60ED" w:rsidP="00FE60ED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0E8C667E" w14:textId="3ECA1E1E" w:rsidR="00EB0A4C" w:rsidRDefault="00EB0A4C" w:rsidP="00FE60ED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The</w:t>
      </w:r>
      <w:r w:rsidRPr="002A4580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ou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tturn for 2019-20 </w:t>
      </w:r>
      <w:r w:rsidR="00B614FC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at just over £2 billion,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is very similar to </w:t>
      </w:r>
      <w:r w:rsidRPr="002A4580">
        <w:rPr>
          <w:rFonts w:ascii="Arial" w:hAnsi="Arial" w:cs="Arial"/>
          <w:color w:val="0B0C0C"/>
          <w:sz w:val="24"/>
          <w:szCs w:val="24"/>
          <w:shd w:val="clear" w:color="auto" w:fill="FFFFFF"/>
        </w:rPr>
        <w:t>forecasts, providing reassurance that the information sources and forecast methodologi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es used are robust and reliable. </w:t>
      </w:r>
    </w:p>
    <w:p w14:paraId="6AF2312C" w14:textId="77777777" w:rsidR="00FE60ED" w:rsidRDefault="00FE60ED" w:rsidP="00FE60ED">
      <w:pPr>
        <w:jc w:val="both"/>
        <w:rPr>
          <w:rFonts w:ascii="Arial" w:hAnsi="Arial" w:cs="Arial"/>
          <w:sz w:val="24"/>
          <w:szCs w:val="24"/>
        </w:rPr>
      </w:pPr>
    </w:p>
    <w:p w14:paraId="01133C68" w14:textId="012E49D7" w:rsidR="00626865" w:rsidRDefault="00626865" w:rsidP="00FE60ED">
      <w:pPr>
        <w:jc w:val="both"/>
        <w:rPr>
          <w:rFonts w:ascii="Arial" w:hAnsi="Arial" w:cs="Arial"/>
          <w:sz w:val="24"/>
          <w:szCs w:val="24"/>
        </w:rPr>
      </w:pPr>
      <w:r w:rsidRPr="002A4580">
        <w:rPr>
          <w:rFonts w:ascii="Arial" w:hAnsi="Arial" w:cs="Arial"/>
          <w:sz w:val="24"/>
          <w:szCs w:val="24"/>
        </w:rPr>
        <w:lastRenderedPageBreak/>
        <w:t xml:space="preserve">As 2019-20 was the first, transitional year, these </w:t>
      </w:r>
      <w:r w:rsidR="008F4BC9">
        <w:rPr>
          <w:rFonts w:ascii="Arial" w:hAnsi="Arial" w:cs="Arial"/>
          <w:sz w:val="24"/>
          <w:szCs w:val="24"/>
        </w:rPr>
        <w:t xml:space="preserve">provisional </w:t>
      </w:r>
      <w:r w:rsidRPr="002A4580">
        <w:rPr>
          <w:rFonts w:ascii="Arial" w:hAnsi="Arial" w:cs="Arial"/>
          <w:sz w:val="24"/>
          <w:szCs w:val="24"/>
        </w:rPr>
        <w:t>outturn statistics have no direct impact on the</w:t>
      </w:r>
      <w:r w:rsidR="0094515B">
        <w:rPr>
          <w:rFonts w:ascii="Arial" w:hAnsi="Arial" w:cs="Arial"/>
          <w:sz w:val="24"/>
          <w:szCs w:val="24"/>
        </w:rPr>
        <w:t xml:space="preserve"> funding available to the</w:t>
      </w:r>
      <w:r w:rsidRPr="002A4580">
        <w:rPr>
          <w:rFonts w:ascii="Arial" w:hAnsi="Arial" w:cs="Arial"/>
          <w:sz w:val="24"/>
          <w:szCs w:val="24"/>
        </w:rPr>
        <w:t xml:space="preserve"> Welsh Government.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However, they will set the</w:t>
      </w:r>
      <w:r w:rsidRPr="002A4580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baseline for forecasts used in future Welsh Government budgets. </w:t>
      </w:r>
      <w:r w:rsidRPr="002A4580">
        <w:rPr>
          <w:rFonts w:ascii="Arial" w:hAnsi="Arial" w:cs="Arial"/>
          <w:sz w:val="24"/>
          <w:szCs w:val="24"/>
        </w:rPr>
        <w:t>The next Welsh rates of income tax forecast by the Office for Budget Responsibility is due in the autumn</w:t>
      </w:r>
      <w:r>
        <w:rPr>
          <w:rFonts w:ascii="Arial" w:hAnsi="Arial" w:cs="Arial"/>
          <w:sz w:val="24"/>
          <w:szCs w:val="24"/>
        </w:rPr>
        <w:t xml:space="preserve">. </w:t>
      </w:r>
      <w:r w:rsidRPr="002A4580">
        <w:rPr>
          <w:rFonts w:ascii="Arial" w:hAnsi="Arial" w:cs="Arial"/>
          <w:sz w:val="24"/>
          <w:szCs w:val="24"/>
        </w:rPr>
        <w:t>This will take account of these statistics and will be used in the Welsh Government’s 2022-23 Budget.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D3650A" w14:textId="77777777" w:rsidR="00FE60ED" w:rsidRDefault="00FE60ED" w:rsidP="00FE60ED">
      <w:pPr>
        <w:jc w:val="both"/>
        <w:rPr>
          <w:rFonts w:ascii="Arial" w:hAnsi="Arial" w:cs="Arial"/>
          <w:sz w:val="24"/>
          <w:szCs w:val="24"/>
        </w:rPr>
      </w:pPr>
    </w:p>
    <w:p w14:paraId="15D02911" w14:textId="3DF02126" w:rsidR="00EB0A4C" w:rsidRPr="00102829" w:rsidRDefault="00211AEE" w:rsidP="00FE6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 publication also </w:t>
      </w:r>
      <w:r w:rsidRPr="00626865">
        <w:rPr>
          <w:rFonts w:ascii="Arial" w:hAnsi="Arial" w:cs="Arial"/>
          <w:sz w:val="24"/>
          <w:szCs w:val="24"/>
        </w:rPr>
        <w:t>includes information about receipts for 2020-21 from HMRC’s R</w:t>
      </w:r>
      <w:r>
        <w:rPr>
          <w:rFonts w:ascii="Arial" w:hAnsi="Arial" w:cs="Arial"/>
          <w:sz w:val="24"/>
          <w:szCs w:val="24"/>
        </w:rPr>
        <w:t xml:space="preserve">eal </w:t>
      </w:r>
      <w:r w:rsidRPr="0062686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ime </w:t>
      </w:r>
      <w:r w:rsidRPr="0062686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nformation (RTI)</w:t>
      </w:r>
      <w:r w:rsidRPr="00626865">
        <w:rPr>
          <w:rFonts w:ascii="Arial" w:hAnsi="Arial" w:cs="Arial"/>
          <w:sz w:val="24"/>
          <w:szCs w:val="24"/>
        </w:rPr>
        <w:t xml:space="preserve"> system which have also not been released publicly before.</w:t>
      </w:r>
      <w:r w:rsidR="00EB0A4C">
        <w:rPr>
          <w:rFonts w:ascii="Arial" w:hAnsi="Arial" w:cs="Arial"/>
          <w:sz w:val="24"/>
          <w:szCs w:val="24"/>
        </w:rPr>
        <w:t xml:space="preserve"> </w:t>
      </w:r>
      <w:r w:rsidR="00EB0A4C" w:rsidRPr="00102829">
        <w:rPr>
          <w:rFonts w:ascii="Arial" w:hAnsi="Arial" w:cs="Arial"/>
          <w:sz w:val="24"/>
          <w:szCs w:val="24"/>
        </w:rPr>
        <w:t>This shows that income tax revenues in Wales have held up well relative to rest of the UK over the last year.</w:t>
      </w:r>
    </w:p>
    <w:p w14:paraId="52602F3E" w14:textId="77777777" w:rsidR="00FE60ED" w:rsidRDefault="00FE60ED" w:rsidP="00FE60ED">
      <w:pPr>
        <w:jc w:val="both"/>
        <w:rPr>
          <w:rFonts w:ascii="Arial" w:hAnsi="Arial" w:cs="Arial"/>
          <w:i/>
          <w:shd w:val="clear" w:color="auto" w:fill="FFFFFF"/>
        </w:rPr>
      </w:pPr>
    </w:p>
    <w:p w14:paraId="2D090D2A" w14:textId="3D01EC3E" w:rsidR="00626865" w:rsidRPr="00FE60ED" w:rsidRDefault="00FE60ED" w:rsidP="00FE60ED">
      <w:pPr>
        <w:jc w:val="both"/>
        <w:rPr>
          <w:rFonts w:ascii="Arial" w:hAnsi="Arial" w:cs="Arial"/>
          <w:color w:val="0B0C0C"/>
          <w:sz w:val="28"/>
          <w:szCs w:val="24"/>
          <w:shd w:val="clear" w:color="auto" w:fill="FFFFFF"/>
          <w:lang w:eastAsia="en-GB"/>
        </w:rPr>
      </w:pPr>
      <w:r w:rsidRPr="00FE60ED">
        <w:rPr>
          <w:rFonts w:ascii="Arial" w:hAnsi="Arial" w:cs="Arial"/>
          <w:sz w:val="24"/>
          <w:shd w:val="clear" w:color="auto" w:fill="FFFFFF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254E3E95" w14:textId="77777777" w:rsidR="00160910" w:rsidRDefault="00160910" w:rsidP="008A39BF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456B0DF2" w14:textId="77777777" w:rsidR="00883800" w:rsidRDefault="00883800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sectPr w:rsidR="00883800" w:rsidSect="00F70A3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CDFE" w14:textId="77777777" w:rsidR="00521BE5" w:rsidRDefault="00521BE5">
      <w:r>
        <w:separator/>
      </w:r>
    </w:p>
  </w:endnote>
  <w:endnote w:type="continuationSeparator" w:id="0">
    <w:p w14:paraId="4C33B272" w14:textId="77777777" w:rsidR="00521BE5" w:rsidRDefault="0052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37F0" w14:textId="2DE4B391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8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04BA" w14:textId="15A13CFC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4059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D3D44" w14:textId="77777777" w:rsidR="00521BE5" w:rsidRDefault="00521BE5">
      <w:r>
        <w:separator/>
      </w:r>
    </w:p>
  </w:footnote>
  <w:footnote w:type="continuationSeparator" w:id="0">
    <w:p w14:paraId="3D7F9C0A" w14:textId="77777777" w:rsidR="00521BE5" w:rsidRDefault="0052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4535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99A"/>
    <w:multiLevelType w:val="hybridMultilevel"/>
    <w:tmpl w:val="49F6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124"/>
    <w:multiLevelType w:val="hybridMultilevel"/>
    <w:tmpl w:val="B04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F6966"/>
    <w:multiLevelType w:val="multilevel"/>
    <w:tmpl w:val="E660AF54"/>
    <w:lvl w:ilvl="0">
      <w:start w:val="1"/>
      <w:numFmt w:val="decimal"/>
      <w:pStyle w:val="KAInumberedpara"/>
      <w:lvlText w:val="%1."/>
      <w:lvlJc w:val="left"/>
      <w:pPr>
        <w:tabs>
          <w:tab w:val="num" w:pos="431"/>
        </w:tabs>
        <w:ind w:left="0" w:firstLine="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57BF"/>
    <w:multiLevelType w:val="multilevel"/>
    <w:tmpl w:val="29CCC2D6"/>
    <w:lvl w:ilvl="0">
      <w:start w:val="1"/>
      <w:numFmt w:val="bullet"/>
      <w:lvlText w:val=""/>
      <w:lvlJc w:val="left"/>
      <w:pPr>
        <w:tabs>
          <w:tab w:val="num" w:pos="431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E8D"/>
    <w:rsid w:val="00005157"/>
    <w:rsid w:val="00011410"/>
    <w:rsid w:val="00023B69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7118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2318"/>
    <w:rsid w:val="00102829"/>
    <w:rsid w:val="00110A8A"/>
    <w:rsid w:val="00116B97"/>
    <w:rsid w:val="001336FB"/>
    <w:rsid w:val="00134918"/>
    <w:rsid w:val="00137607"/>
    <w:rsid w:val="00141FC9"/>
    <w:rsid w:val="001460B1"/>
    <w:rsid w:val="001549A6"/>
    <w:rsid w:val="0015509B"/>
    <w:rsid w:val="00160910"/>
    <w:rsid w:val="00161A3D"/>
    <w:rsid w:val="00165405"/>
    <w:rsid w:val="0017102C"/>
    <w:rsid w:val="00183F77"/>
    <w:rsid w:val="00192983"/>
    <w:rsid w:val="001A39E2"/>
    <w:rsid w:val="001A6AF1"/>
    <w:rsid w:val="001B027C"/>
    <w:rsid w:val="001B288D"/>
    <w:rsid w:val="001C1CD2"/>
    <w:rsid w:val="001C532F"/>
    <w:rsid w:val="001C6581"/>
    <w:rsid w:val="001D58E5"/>
    <w:rsid w:val="001E53BF"/>
    <w:rsid w:val="00211AEE"/>
    <w:rsid w:val="00214B25"/>
    <w:rsid w:val="00223E62"/>
    <w:rsid w:val="00223F94"/>
    <w:rsid w:val="00243CEB"/>
    <w:rsid w:val="00252F0C"/>
    <w:rsid w:val="0026293B"/>
    <w:rsid w:val="00273AB5"/>
    <w:rsid w:val="00274F08"/>
    <w:rsid w:val="002812F8"/>
    <w:rsid w:val="002867B0"/>
    <w:rsid w:val="00294841"/>
    <w:rsid w:val="002A2F7B"/>
    <w:rsid w:val="002A4580"/>
    <w:rsid w:val="002A5310"/>
    <w:rsid w:val="002C43F2"/>
    <w:rsid w:val="002C57B6"/>
    <w:rsid w:val="002C7A1C"/>
    <w:rsid w:val="002E7422"/>
    <w:rsid w:val="002F0EB9"/>
    <w:rsid w:val="002F53A9"/>
    <w:rsid w:val="00314A33"/>
    <w:rsid w:val="00314E36"/>
    <w:rsid w:val="003210BD"/>
    <w:rsid w:val="003220C1"/>
    <w:rsid w:val="00356D7B"/>
    <w:rsid w:val="00357893"/>
    <w:rsid w:val="00365033"/>
    <w:rsid w:val="003670C1"/>
    <w:rsid w:val="00370471"/>
    <w:rsid w:val="00380CD8"/>
    <w:rsid w:val="0038101B"/>
    <w:rsid w:val="003A2D7B"/>
    <w:rsid w:val="003B1503"/>
    <w:rsid w:val="003B3D64"/>
    <w:rsid w:val="003B6312"/>
    <w:rsid w:val="003C0740"/>
    <w:rsid w:val="003C5133"/>
    <w:rsid w:val="003E5BF6"/>
    <w:rsid w:val="003F1307"/>
    <w:rsid w:val="00401B6F"/>
    <w:rsid w:val="00412673"/>
    <w:rsid w:val="00426D52"/>
    <w:rsid w:val="00427D5A"/>
    <w:rsid w:val="0043031D"/>
    <w:rsid w:val="00455328"/>
    <w:rsid w:val="004632FB"/>
    <w:rsid w:val="0046757C"/>
    <w:rsid w:val="00487917"/>
    <w:rsid w:val="00494E47"/>
    <w:rsid w:val="004A11CE"/>
    <w:rsid w:val="004A3099"/>
    <w:rsid w:val="004A4C02"/>
    <w:rsid w:val="004C1BF8"/>
    <w:rsid w:val="004D0E75"/>
    <w:rsid w:val="004D726D"/>
    <w:rsid w:val="004F5743"/>
    <w:rsid w:val="00502EE0"/>
    <w:rsid w:val="0051781B"/>
    <w:rsid w:val="00521BE5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A41"/>
    <w:rsid w:val="005D7663"/>
    <w:rsid w:val="005F1659"/>
    <w:rsid w:val="00603548"/>
    <w:rsid w:val="0060740E"/>
    <w:rsid w:val="00626865"/>
    <w:rsid w:val="00631EA2"/>
    <w:rsid w:val="00654C0A"/>
    <w:rsid w:val="0066001B"/>
    <w:rsid w:val="006633C7"/>
    <w:rsid w:val="00663F04"/>
    <w:rsid w:val="00670227"/>
    <w:rsid w:val="00671FB5"/>
    <w:rsid w:val="006728DA"/>
    <w:rsid w:val="006814BD"/>
    <w:rsid w:val="006906CB"/>
    <w:rsid w:val="0069133F"/>
    <w:rsid w:val="006B2322"/>
    <w:rsid w:val="006B340E"/>
    <w:rsid w:val="006B461D"/>
    <w:rsid w:val="006B52EE"/>
    <w:rsid w:val="006C2EB6"/>
    <w:rsid w:val="006C56B3"/>
    <w:rsid w:val="006E0A2C"/>
    <w:rsid w:val="006E603B"/>
    <w:rsid w:val="006F0E27"/>
    <w:rsid w:val="006F7D01"/>
    <w:rsid w:val="006F7DA6"/>
    <w:rsid w:val="00703993"/>
    <w:rsid w:val="0073380E"/>
    <w:rsid w:val="0074153A"/>
    <w:rsid w:val="00742172"/>
    <w:rsid w:val="00743B79"/>
    <w:rsid w:val="007523BC"/>
    <w:rsid w:val="00752C48"/>
    <w:rsid w:val="00772456"/>
    <w:rsid w:val="007909F3"/>
    <w:rsid w:val="00795FBE"/>
    <w:rsid w:val="007A05FB"/>
    <w:rsid w:val="007B5260"/>
    <w:rsid w:val="007C0BB9"/>
    <w:rsid w:val="007C24E7"/>
    <w:rsid w:val="007D1402"/>
    <w:rsid w:val="007F5E64"/>
    <w:rsid w:val="007F7CC5"/>
    <w:rsid w:val="00800FA0"/>
    <w:rsid w:val="008030D6"/>
    <w:rsid w:val="00811B63"/>
    <w:rsid w:val="00812370"/>
    <w:rsid w:val="008139AB"/>
    <w:rsid w:val="00820734"/>
    <w:rsid w:val="0082411A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A39BF"/>
    <w:rsid w:val="008A7D19"/>
    <w:rsid w:val="008B5318"/>
    <w:rsid w:val="008B7927"/>
    <w:rsid w:val="008C38AE"/>
    <w:rsid w:val="008C623A"/>
    <w:rsid w:val="008C74B2"/>
    <w:rsid w:val="008D1E0B"/>
    <w:rsid w:val="008D2BBE"/>
    <w:rsid w:val="008D71F8"/>
    <w:rsid w:val="008F0262"/>
    <w:rsid w:val="008F0CC6"/>
    <w:rsid w:val="008F4BC9"/>
    <w:rsid w:val="008F789E"/>
    <w:rsid w:val="00903366"/>
    <w:rsid w:val="00905771"/>
    <w:rsid w:val="00913797"/>
    <w:rsid w:val="00933958"/>
    <w:rsid w:val="00936771"/>
    <w:rsid w:val="00940F0D"/>
    <w:rsid w:val="0094515B"/>
    <w:rsid w:val="00951138"/>
    <w:rsid w:val="009520F8"/>
    <w:rsid w:val="00953A46"/>
    <w:rsid w:val="00967473"/>
    <w:rsid w:val="00973090"/>
    <w:rsid w:val="00991B71"/>
    <w:rsid w:val="00995EEC"/>
    <w:rsid w:val="009A2F3E"/>
    <w:rsid w:val="009A4779"/>
    <w:rsid w:val="009B0EF7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4059C"/>
    <w:rsid w:val="00A41B21"/>
    <w:rsid w:val="00A448A1"/>
    <w:rsid w:val="00A5759A"/>
    <w:rsid w:val="00A72CF3"/>
    <w:rsid w:val="00A82A45"/>
    <w:rsid w:val="00A845A9"/>
    <w:rsid w:val="00A86958"/>
    <w:rsid w:val="00A87464"/>
    <w:rsid w:val="00A9573F"/>
    <w:rsid w:val="00AA5651"/>
    <w:rsid w:val="00AA5848"/>
    <w:rsid w:val="00AA7750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239BA"/>
    <w:rsid w:val="00B46395"/>
    <w:rsid w:val="00B468BB"/>
    <w:rsid w:val="00B60538"/>
    <w:rsid w:val="00B614FC"/>
    <w:rsid w:val="00B81F17"/>
    <w:rsid w:val="00B9488D"/>
    <w:rsid w:val="00B95157"/>
    <w:rsid w:val="00BA06AB"/>
    <w:rsid w:val="00BA1D9F"/>
    <w:rsid w:val="00BB5009"/>
    <w:rsid w:val="00BC577C"/>
    <w:rsid w:val="00C1261E"/>
    <w:rsid w:val="00C26878"/>
    <w:rsid w:val="00C26C40"/>
    <w:rsid w:val="00C43B4A"/>
    <w:rsid w:val="00C46B05"/>
    <w:rsid w:val="00C5493C"/>
    <w:rsid w:val="00C649F0"/>
    <w:rsid w:val="00C64FA5"/>
    <w:rsid w:val="00C84A12"/>
    <w:rsid w:val="00C8678A"/>
    <w:rsid w:val="00C9372E"/>
    <w:rsid w:val="00C95AD7"/>
    <w:rsid w:val="00CC67CF"/>
    <w:rsid w:val="00CD43D8"/>
    <w:rsid w:val="00CE72A3"/>
    <w:rsid w:val="00CF3DC5"/>
    <w:rsid w:val="00CF544B"/>
    <w:rsid w:val="00D0113E"/>
    <w:rsid w:val="00D017E2"/>
    <w:rsid w:val="00D16D97"/>
    <w:rsid w:val="00D2361A"/>
    <w:rsid w:val="00D273DD"/>
    <w:rsid w:val="00D27F42"/>
    <w:rsid w:val="00D53303"/>
    <w:rsid w:val="00D84713"/>
    <w:rsid w:val="00D855DB"/>
    <w:rsid w:val="00D869B5"/>
    <w:rsid w:val="00D93FB6"/>
    <w:rsid w:val="00DD2563"/>
    <w:rsid w:val="00DD2E56"/>
    <w:rsid w:val="00DD4B82"/>
    <w:rsid w:val="00DF0877"/>
    <w:rsid w:val="00DF31CC"/>
    <w:rsid w:val="00E1310B"/>
    <w:rsid w:val="00E1556F"/>
    <w:rsid w:val="00E225F7"/>
    <w:rsid w:val="00E30BE8"/>
    <w:rsid w:val="00E3419E"/>
    <w:rsid w:val="00E47B1A"/>
    <w:rsid w:val="00E631B1"/>
    <w:rsid w:val="00E77669"/>
    <w:rsid w:val="00E83FD5"/>
    <w:rsid w:val="00E85954"/>
    <w:rsid w:val="00E90219"/>
    <w:rsid w:val="00EA1328"/>
    <w:rsid w:val="00EA5290"/>
    <w:rsid w:val="00EB030A"/>
    <w:rsid w:val="00EB0A4C"/>
    <w:rsid w:val="00EB248F"/>
    <w:rsid w:val="00EB5F93"/>
    <w:rsid w:val="00EC0568"/>
    <w:rsid w:val="00EE721A"/>
    <w:rsid w:val="00EF0888"/>
    <w:rsid w:val="00EF25CF"/>
    <w:rsid w:val="00EF43E9"/>
    <w:rsid w:val="00EF4B65"/>
    <w:rsid w:val="00F0272E"/>
    <w:rsid w:val="00F14788"/>
    <w:rsid w:val="00F24305"/>
    <w:rsid w:val="00F2438B"/>
    <w:rsid w:val="00F3795D"/>
    <w:rsid w:val="00F458A4"/>
    <w:rsid w:val="00F46310"/>
    <w:rsid w:val="00F501C1"/>
    <w:rsid w:val="00F54E41"/>
    <w:rsid w:val="00F64759"/>
    <w:rsid w:val="00F70A31"/>
    <w:rsid w:val="00F81C33"/>
    <w:rsid w:val="00F8343D"/>
    <w:rsid w:val="00F923C2"/>
    <w:rsid w:val="00F97613"/>
    <w:rsid w:val="00FC4B62"/>
    <w:rsid w:val="00FD4292"/>
    <w:rsid w:val="00FD48BC"/>
    <w:rsid w:val="00FE60ED"/>
    <w:rsid w:val="00FE69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32EEA1"/>
  <w15:docId w15:val="{E755C799-C2BC-433D-8542-6FB0616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8A39B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9BF"/>
  </w:style>
  <w:style w:type="character" w:customStyle="1" w:styleId="eop">
    <w:name w:val="eop"/>
    <w:basedOn w:val="DefaultParagraphFont"/>
    <w:rsid w:val="008A39BF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locked/>
    <w:rsid w:val="002A4580"/>
    <w:rPr>
      <w:rFonts w:ascii="TradeGothic" w:hAnsi="TradeGothic"/>
      <w:sz w:val="22"/>
      <w:lang w:eastAsia="en-US"/>
    </w:rPr>
  </w:style>
  <w:style w:type="character" w:customStyle="1" w:styleId="KAInumberedparaChar">
    <w:name w:val="KAI numbered para Char"/>
    <w:basedOn w:val="DefaultParagraphFont"/>
    <w:link w:val="KAInumberedpara"/>
    <w:locked/>
    <w:rsid w:val="00626865"/>
    <w:rPr>
      <w:rFonts w:ascii="Verdana" w:hAnsi="Verdana"/>
      <w:lang w:eastAsia="en-US" w:bidi="en-US"/>
    </w:rPr>
  </w:style>
  <w:style w:type="paragraph" w:customStyle="1" w:styleId="KAInumberedpara">
    <w:name w:val="KAI numbered para"/>
    <w:basedOn w:val="Normal"/>
    <w:link w:val="KAInumberedparaChar"/>
    <w:qFormat/>
    <w:rsid w:val="00626865"/>
    <w:pPr>
      <w:numPr>
        <w:numId w:val="9"/>
      </w:numPr>
      <w:spacing w:before="180" w:after="60" w:line="300" w:lineRule="auto"/>
    </w:pPr>
    <w:rPr>
      <w:rFonts w:ascii="Verdana" w:hAnsi="Verdana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statistics/welsh-income-tax-outturn-statistics-2019-to-20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A35689797</value>
    </field>
    <field name="Objective-Title">
      <value order="0">WRIT Outturn Written Statement (official sensitive until 0930 22 July 2021) - Doc 1</value>
    </field>
    <field name="Objective-Description">
      <value order="0"/>
    </field>
    <field name="Objective-CreationStamp">
      <value order="0">2021-07-22T08:27:37Z</value>
    </field>
    <field name="Objective-IsApproved">
      <value order="0">false</value>
    </field>
    <field name="Objective-IsPublished">
      <value order="0">true</value>
    </field>
    <field name="Objective-DatePublished">
      <value order="0">2021-07-22T11:10:04Z</value>
    </field>
    <field name="Objective-ModificationStamp">
      <value order="0">2021-07-22T11:10:04Z</value>
    </field>
    <field name="Objective-Owner">
      <value order="0">Edwards, Owain (PSG - Welsh Treasury)</value>
    </field>
    <field name="Objective-Path">
      <value order="0">Objective Global Folder:Business File Plan:Permanent Secretary's Group (PSG):Permanent Secretary's Group (PSG) - Welsh Treasury - Tax Strategy and Intergovernmental Relations:1 - Save:Ministerials :Rebecca Evans - Minister for Finance and Trefnydd - Dec 2018:Rebecca Evans - Minister for Finance &amp; Trefnydd - Ministrial Advice: Policy - Tax Policy &amp; Legislation - 2018:MA/RE/2639/21 - Publication of Welsh rates of income tax outturn statistics</value>
    </field>
    <field name="Objective-Parent">
      <value order="0">MA/RE/2639/21 - Publication of Welsh rates of income tax outturn statistics</value>
    </field>
    <field name="Objective-State">
      <value order="0">Published</value>
    </field>
    <field name="Objective-VersionId">
      <value order="0">vA70127713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F4B9DE4-57F9-4912-9DA5-B578DD7895EF}">
  <ds:schemaRefs>
    <ds:schemaRef ds:uri="http://purl.org/dc/terms/"/>
    <ds:schemaRef ds:uri="http://schemas.microsoft.com/office/2006/documentManagement/types"/>
    <ds:schemaRef ds:uri="93868ba0-4f09-432e-b4a8-1e7798b1a206"/>
    <ds:schemaRef ds:uri="ef277e87-290d-49c5-91d0-3912be04ccb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CCB1BF-9E62-410F-B70D-EF83B2E8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lastModifiedBy>Carey, Helen (OFM - Cabinet Division)</cp:lastModifiedBy>
  <cp:revision>3</cp:revision>
  <cp:lastPrinted>2019-02-08T16:42:00Z</cp:lastPrinted>
  <dcterms:created xsi:type="dcterms:W3CDTF">2021-07-22T14:37:00Z</dcterms:created>
  <dcterms:modified xsi:type="dcterms:W3CDTF">2021-07-22T14:53:00Z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A35689797</vt:lpwstr>
  </property>
  <property fmtid="{D5CDD505-2E9C-101B-9397-08002B2CF9AE}" pid="4" name="Objective-Title">
    <vt:lpwstr>WRIT Outturn Written Statement (official sensitive until 0930 22 July 2021) - Doc 1</vt:lpwstr>
  </property>
  <property fmtid="{D5CDD505-2E9C-101B-9397-08002B2CF9AE}" pid="5" name="Objective-Comment">
    <vt:lpwstr/>
  </property>
  <property fmtid="{D5CDD505-2E9C-101B-9397-08002B2CF9AE}" pid="6" name="Objective-CreationStamp">
    <vt:filetime>2021-07-22T08:32:15Z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2021-07-22T11:10:04Z</vt:filetime>
  </property>
  <property fmtid="{D5CDD505-2E9C-101B-9397-08002B2CF9AE}" pid="10" name="Objective-ModificationStamp">
    <vt:filetime>2021-07-22T11:10:04Z</vt:filetime>
  </property>
  <property fmtid="{D5CDD505-2E9C-101B-9397-08002B2CF9AE}" pid="11" name="Objective-Owner">
    <vt:lpwstr>Edwards, Owain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 and Intergovernmental Relations:1 - Save:Ministerials :Rebecca Evans - Minister for Finance and Trefnydd - Dec 2</vt:lpwstr>
  </property>
  <property fmtid="{D5CDD505-2E9C-101B-9397-08002B2CF9AE}" pid="13" name="Objective-Parent">
    <vt:lpwstr>MA/RE/2639/21 - Publication of Welsh rates of income tax outturn statistics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qA1373082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vA70127713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