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93E500" w14:textId="136E6B79" w:rsidR="001A39E2" w:rsidRDefault="001A39E2" w:rsidP="00806E47">
      <w:pPr>
        <w:spacing w:before="1680"/>
        <w:jc w:val="right"/>
        <w:rPr>
          <w:b/>
        </w:rPr>
      </w:pPr>
    </w:p>
    <w:p w14:paraId="0493E501" w14:textId="77777777" w:rsidR="00A845A9" w:rsidRPr="00B57637" w:rsidRDefault="000C5E9B" w:rsidP="00806E47">
      <w:pPr>
        <w:rPr>
          <w:color w:val="FF0000"/>
        </w:rPr>
      </w:pPr>
      <w:r w:rsidRPr="00B57637">
        <w:rPr>
          <w:noProof/>
          <w:lang w:eastAsia="en-GB"/>
        </w:rPr>
        <mc:AlternateContent>
          <mc:Choice Requires="wps">
            <w:drawing>
              <wp:anchor distT="0" distB="0" distL="114300" distR="114300" simplePos="0" relativeHeight="251657216" behindDoc="0" locked="0" layoutInCell="0" allowOverlap="1" wp14:anchorId="0493E51D" wp14:editId="27D8A225">
                <wp:simplePos x="0" y="0"/>
                <wp:positionH relativeFrom="column">
                  <wp:posOffset>46990</wp:posOffset>
                </wp:positionH>
                <wp:positionV relativeFrom="paragraph">
                  <wp:posOffset>39370</wp:posOffset>
                </wp:positionV>
                <wp:extent cx="5303520" cy="0"/>
                <wp:effectExtent l="0" t="0" r="0" b="0"/>
                <wp:wrapNone/>
                <wp:docPr id="2" name="Line 5" descr="Bold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B7906FA" id="Line 5" o:spid="_x0000_s1026" alt="Bold Line"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2OXIAIAADsEAAAOAAAAZHJzL2Uyb0RvYy54bWysU8uu2yAQ3VfqPyD2ie28mlhxrlo77ia9&#10;jXRvP4AAjlExICBxoqr/3oE8lNtuqqpe4IGZOZyZMyyfTp1ER26d0KrA2TDFiCuqmVD7An97rQdz&#10;jJwnihGpFS/wmTv8tHr/btmbnI90qyXjFgGIcnlvCtx6b/IkcbTlHXFDbbgCZ6NtRzxs7T5hlvSA&#10;3slklKazpNeWGaspdw5Oq4sTryJ+03DqvzaN4x7JAgM3H1cb111Yk9WS5HtLTCvolQb5BxYdEQou&#10;vUNVxBN0sOIPqE5Qq51u/JDqLtFNIyiPNUA1WfpbNS8tMTzWAs1x5t4m9/9g6fNxa5FgBR5hpEgH&#10;Em2E4miKEeOOQqc+gUQonIVe9cblkFKqrQ3V0pN6MRtNvzukdNkSteeR8+vZAFAWMpI3KWHjDNy4&#10;679oBjHk4HVs3KmxXYCElqBT1Od814efPKJwOB2n4+kIZKQ3X0LyW6Kxzn/mukPBKLAMjAMgOW6c&#10;D0RIfgsJx0rXQsoov1SoB7aLdJrGDKelYMEb4pzd70pp0ZHABNV1Cl8sCzyPYVYfFItoLSdsfbU9&#10;EfJiw+1SBTyoBfhcrcuI/Fiki/V8PZ8MJqPZejBJq2rwsS4ng1mdfZhW46osq+xnoJZN8lYwxlVg&#10;dxvXbPJ343B9OJdBuw/svQ/JW/TYMCB7+0fSUcyg32USdpqdt/YmMkxoDL6+pvAEHvdgP7751S8A&#10;AAD//wMAUEsDBBQABgAIAAAAIQA4fXcH2wAAAAUBAAAPAAAAZHJzL2Rvd25yZXYueG1sTI7BasMw&#10;EETvhfyD2EBvjRwTlOBYDsVQ0kMhxO0huSnWxjaVVsZSYvfvq/bSHocZ3rx8N1nD7jj4zpGE5SIB&#10;hlQ73VEj4eP95WkDzAdFWhlHKOELPeyK2UOuMu1GOuK9Cg2LEPKZktCG0Gec+7pFq/zC9Uixu7rB&#10;qhDj0HA9qDHCreFpkghuVUfxoVU9li3Wn9XNSjgd9of+rSyFez3vx6kRy+q4NlI+zqfnLbCAU/gb&#10;w49+VIciOl3cjbRnRsJ6FYcSRAostptVKoBdfjMvcv7fvvgGAAD//wMAUEsBAi0AFAAGAAgAAAAh&#10;ALaDOJL+AAAA4QEAABMAAAAAAAAAAAAAAAAAAAAAAFtDb250ZW50X1R5cGVzXS54bWxQSwECLQAU&#10;AAYACAAAACEAOP0h/9YAAACUAQAACwAAAAAAAAAAAAAAAAAvAQAAX3JlbHMvLnJlbHNQSwECLQAU&#10;AAYACAAAACEA3k9jlyACAAA7BAAADgAAAAAAAAAAAAAAAAAuAgAAZHJzL2Uyb0RvYy54bWxQSwEC&#10;LQAUAAYACAAAACEAOH13B9sAAAAFAQAADwAAAAAAAAAAAAAAAAB6BAAAZHJzL2Rvd25yZXYueG1s&#10;UEsFBgAAAAAEAAQA8wAAAIIFAAAAAA==&#10;" o:allowincell="f" strokecolor="red" strokeweight="1.5pt"/>
            </w:pict>
          </mc:Fallback>
        </mc:AlternateContent>
      </w:r>
    </w:p>
    <w:p w14:paraId="0493E502" w14:textId="77777777" w:rsidR="00A845A9" w:rsidRPr="00B57637" w:rsidRDefault="003B3D64" w:rsidP="006353A0">
      <w:pPr>
        <w:pStyle w:val="Heading1"/>
        <w:jc w:val="center"/>
        <w:rPr>
          <w:rFonts w:ascii="Times New Roman" w:hAnsi="Times New Roman"/>
          <w:color w:val="FF0000"/>
          <w:sz w:val="40"/>
          <w:szCs w:val="40"/>
        </w:rPr>
      </w:pPr>
      <w:r w:rsidRPr="00B57637">
        <w:rPr>
          <w:rFonts w:ascii="Times New Roman" w:hAnsi="Times New Roman"/>
          <w:color w:val="FF0000"/>
          <w:sz w:val="40"/>
          <w:szCs w:val="40"/>
        </w:rPr>
        <w:t xml:space="preserve">WRITTEN </w:t>
      </w:r>
      <w:r w:rsidR="00A845A9" w:rsidRPr="00B57637">
        <w:rPr>
          <w:rFonts w:ascii="Times New Roman" w:hAnsi="Times New Roman"/>
          <w:color w:val="FF0000"/>
          <w:sz w:val="40"/>
          <w:szCs w:val="40"/>
        </w:rPr>
        <w:t xml:space="preserve">STATEMENT </w:t>
      </w:r>
    </w:p>
    <w:p w14:paraId="0493E503" w14:textId="77777777" w:rsidR="00A845A9" w:rsidRPr="00B57637" w:rsidRDefault="00A845A9" w:rsidP="00A845A9">
      <w:pPr>
        <w:pStyle w:val="Heading1"/>
        <w:jc w:val="center"/>
        <w:rPr>
          <w:rFonts w:ascii="Times New Roman" w:hAnsi="Times New Roman"/>
          <w:color w:val="FF0000"/>
          <w:sz w:val="40"/>
          <w:szCs w:val="40"/>
        </w:rPr>
      </w:pPr>
      <w:r w:rsidRPr="00B57637">
        <w:rPr>
          <w:rFonts w:ascii="Times New Roman" w:hAnsi="Times New Roman"/>
          <w:color w:val="FF0000"/>
          <w:sz w:val="40"/>
          <w:szCs w:val="40"/>
        </w:rPr>
        <w:t>BY</w:t>
      </w:r>
    </w:p>
    <w:p w14:paraId="0493E504" w14:textId="77777777" w:rsidR="00A845A9" w:rsidRPr="00B57637" w:rsidRDefault="00A845A9" w:rsidP="00A845A9">
      <w:pPr>
        <w:pStyle w:val="Heading1"/>
        <w:jc w:val="center"/>
        <w:rPr>
          <w:rFonts w:ascii="Times New Roman" w:hAnsi="Times New Roman"/>
          <w:color w:val="FF0000"/>
          <w:sz w:val="40"/>
          <w:szCs w:val="40"/>
        </w:rPr>
      </w:pPr>
      <w:r w:rsidRPr="00B57637">
        <w:rPr>
          <w:rFonts w:ascii="Times New Roman" w:hAnsi="Times New Roman"/>
          <w:color w:val="FF0000"/>
          <w:sz w:val="40"/>
          <w:szCs w:val="40"/>
        </w:rPr>
        <w:t>THE WELSH GOVERNMENT</w:t>
      </w:r>
    </w:p>
    <w:p w14:paraId="0493E505" w14:textId="77777777" w:rsidR="00A845A9" w:rsidRPr="00B57637" w:rsidRDefault="000C5E9B" w:rsidP="00806E47">
      <w:pPr>
        <w:rPr>
          <w:color w:val="FF0000"/>
        </w:rPr>
      </w:pPr>
      <w:r w:rsidRPr="00B57637">
        <w:rPr>
          <w:noProof/>
          <w:lang w:eastAsia="en-GB"/>
        </w:rPr>
        <mc:AlternateContent>
          <mc:Choice Requires="wps">
            <w:drawing>
              <wp:anchor distT="0" distB="0" distL="114300" distR="114300" simplePos="0" relativeHeight="251658240" behindDoc="0" locked="0" layoutInCell="0" allowOverlap="1" wp14:anchorId="0493E51F" wp14:editId="3CD12103">
                <wp:simplePos x="0" y="0"/>
                <wp:positionH relativeFrom="column">
                  <wp:posOffset>46990</wp:posOffset>
                </wp:positionH>
                <wp:positionV relativeFrom="paragraph">
                  <wp:posOffset>128270</wp:posOffset>
                </wp:positionV>
                <wp:extent cx="5303520" cy="0"/>
                <wp:effectExtent l="0" t="0" r="0" b="0"/>
                <wp:wrapNone/>
                <wp:docPr id="1" name="Line 6" descr="Bold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B488317" id="Line 6" o:spid="_x0000_s1026" alt="Bold Line"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xXFHwIAADsEAAAOAAAAZHJzL2Uyb0RvYy54bWysU8GO2jAQvVfqP1i5QxIIFCLCqk1IL3SL&#10;tNsPMLZDrDq2ZRsCqvrvHRuC2PZSVc3BGXtmnt/MG6+ezp1AJ2YsV7KI0nESISaJolweiujbaz1a&#10;RMg6LCkWSrIiujAbPa3fv1v1OmcT1SpBmUEAIm3e6yJqndN5HFvSsg7bsdJMgrNRpsMOtuYQU4N7&#10;QO9EPEmSedwrQ7VRhFkLp9XVGa0DftMw4r42jWUOiSICbi6sJqx7v8brFc4PBuuWkxsN/A8sOswl&#10;XHqHqrDD6Gj4H1AdJ0ZZ1bgxUV2smoYTFmqAatLkt2peWqxZqAWaY/W9Tfb/wZLn084gTkG7CEnc&#10;gURbLhmaR4gyS6BTn0Ai5M98r3ptc0gp5c74aslZvuitIt8tkqpssTywwPn1ogEo9RnxmxS/sRpu&#10;3PdfFIUYfHQqNO7cmM5DQkvQOehzuevDzg4ROJxNk+lsAjKSwRfjfEjUxrrPTHXIG0UkPGMPiE9b&#10;6zwRnA8h/liqmgsR5BcS9cB2mcySkGGV4NR7fZw1h30pDDphmKC6TuALZYHnMcyoo6QBrWWYbm62&#10;w1xcbbhdSI8HtQCfm3UdkR/LZLlZbBbZKJvMN6MsqarRx7rMRvM6/TCrplVZVulPTy3N8pZTyqRn&#10;N4xrmv3dONweznXQ7gN770P8Fj00DMgO/0A6iOn1u07CXtHLzgwiw4SG4Ntr8k/gcQ/245tf/wIA&#10;AP//AwBQSwMEFAAGAAgAAAAhAPEVeBDcAAAABwEAAA8AAABkcnMvZG93bnJldi54bWxMjs1Kw0AU&#10;hfeC7zBcwZ2dNJS0pJkUCUhdCKXRhe6mmdskOHMnZKZNfHuvuNDl+eGcr9jNzoorjqH3pGC5SEAg&#10;Nd701Cp4e3162IAIUZPR1hMq+MIAu/L2ptC58RMd8VrHVvAIhVwr6GIccilD06HTYeEHJM7OfnQ6&#10;shxbaUY98bizMk2STDrdEz90esCqw+azvjgF74f9YXipqsw/f+ynuc2W9XFtlbq/mx+3ICLO8a8M&#10;P/iMDiUznfyFTBBWwXrFRQVpkoLgeLNKMxCnX0OWhfzPX34DAAD//wMAUEsBAi0AFAAGAAgAAAAh&#10;ALaDOJL+AAAA4QEAABMAAAAAAAAAAAAAAAAAAAAAAFtDb250ZW50X1R5cGVzXS54bWxQSwECLQAU&#10;AAYACAAAACEAOP0h/9YAAACUAQAACwAAAAAAAAAAAAAAAAAvAQAAX3JlbHMvLnJlbHNQSwECLQAU&#10;AAYACAAAACEAQxsVxR8CAAA7BAAADgAAAAAAAAAAAAAAAAAuAgAAZHJzL2Uyb0RvYy54bWxQSwEC&#10;LQAUAAYACAAAACEA8RV4ENwAAAAHAQAADwAAAAAAAAAAAAAAAAB5BAAAZHJzL2Rvd25yZXYueG1s&#10;UEsFBgAAAAAEAAQA8wAAAIIFAAAAAA==&#10;" o:allowincell="f" strokecolor="red" strokeweight="1.5pt"/>
            </w:pict>
          </mc:Fallback>
        </mc:AlternateContent>
      </w:r>
    </w:p>
    <w:p w14:paraId="1AF043DA" w14:textId="77777777" w:rsidR="00201AFD" w:rsidRDefault="00201AFD" w:rsidP="00201AFD"/>
    <w:p w14:paraId="3FFE47A0" w14:textId="50EE4734" w:rsidR="00201AFD" w:rsidRPr="00201AFD" w:rsidRDefault="00201AFD" w:rsidP="0059227F">
      <w:pPr>
        <w:pStyle w:val="Title"/>
        <w:spacing w:before="120" w:after="120"/>
        <w:rPr>
          <w:rFonts w:ascii="Arial" w:hAnsi="Arial" w:cs="Arial"/>
          <w:b/>
          <w:bCs/>
          <w:sz w:val="24"/>
          <w:szCs w:val="24"/>
        </w:rPr>
      </w:pPr>
      <w:r w:rsidRPr="00201AFD">
        <w:rPr>
          <w:rFonts w:ascii="Arial" w:hAnsi="Arial" w:cs="Arial"/>
          <w:b/>
          <w:bCs/>
          <w:sz w:val="24"/>
          <w:szCs w:val="24"/>
        </w:rPr>
        <w:t xml:space="preserve">TITLE </w:t>
      </w:r>
      <w:r w:rsidRPr="00201AFD">
        <w:rPr>
          <w:rFonts w:ascii="Arial" w:hAnsi="Arial" w:cs="Arial"/>
          <w:b/>
          <w:bCs/>
          <w:sz w:val="24"/>
          <w:szCs w:val="24"/>
        </w:rPr>
        <w:tab/>
      </w:r>
      <w:r>
        <w:rPr>
          <w:rFonts w:ascii="Arial" w:hAnsi="Arial" w:cs="Arial"/>
          <w:b/>
          <w:bCs/>
          <w:sz w:val="24"/>
          <w:szCs w:val="24"/>
        </w:rPr>
        <w:tab/>
      </w:r>
      <w:bookmarkStart w:id="0" w:name="_GoBack"/>
      <w:r w:rsidR="00F6448F">
        <w:rPr>
          <w:rFonts w:ascii="Arial" w:hAnsi="Arial" w:cs="Arial"/>
          <w:b/>
          <w:bCs/>
          <w:sz w:val="24"/>
          <w:szCs w:val="24"/>
        </w:rPr>
        <w:t>Final</w:t>
      </w:r>
      <w:r w:rsidRPr="00201AFD">
        <w:rPr>
          <w:rFonts w:ascii="Arial" w:hAnsi="Arial" w:cs="Arial"/>
          <w:b/>
          <w:bCs/>
          <w:sz w:val="24"/>
          <w:szCs w:val="24"/>
        </w:rPr>
        <w:t xml:space="preserve"> Local Government Settlement 2022-23</w:t>
      </w:r>
      <w:bookmarkEnd w:id="0"/>
    </w:p>
    <w:p w14:paraId="190E990C" w14:textId="001EE2E5" w:rsidR="00201AFD" w:rsidRPr="00201AFD" w:rsidRDefault="00F6448F" w:rsidP="0059227F">
      <w:pPr>
        <w:spacing w:before="120" w:after="120"/>
        <w:rPr>
          <w:rFonts w:ascii="Arial" w:hAnsi="Arial" w:cs="Arial"/>
          <w:b/>
          <w:bCs/>
          <w:sz w:val="24"/>
          <w:szCs w:val="24"/>
        </w:rPr>
      </w:pPr>
      <w:r>
        <w:rPr>
          <w:rFonts w:ascii="Arial" w:hAnsi="Arial" w:cs="Arial"/>
          <w:b/>
          <w:bCs/>
          <w:sz w:val="24"/>
          <w:szCs w:val="24"/>
        </w:rPr>
        <w:t xml:space="preserve">DATE </w:t>
      </w:r>
      <w:r>
        <w:rPr>
          <w:rFonts w:ascii="Arial" w:hAnsi="Arial" w:cs="Arial"/>
          <w:b/>
          <w:bCs/>
          <w:sz w:val="24"/>
          <w:szCs w:val="24"/>
        </w:rPr>
        <w:tab/>
      </w:r>
      <w:r w:rsidR="00201AFD" w:rsidRPr="00201AFD">
        <w:rPr>
          <w:rFonts w:ascii="Arial" w:hAnsi="Arial" w:cs="Arial"/>
          <w:b/>
          <w:bCs/>
          <w:sz w:val="24"/>
          <w:szCs w:val="24"/>
        </w:rPr>
        <w:t xml:space="preserve">1 </w:t>
      </w:r>
      <w:r>
        <w:rPr>
          <w:rFonts w:ascii="Arial" w:hAnsi="Arial" w:cs="Arial"/>
          <w:b/>
          <w:bCs/>
          <w:sz w:val="24"/>
          <w:szCs w:val="24"/>
        </w:rPr>
        <w:t>March 2022</w:t>
      </w:r>
    </w:p>
    <w:p w14:paraId="0493E511" w14:textId="57838B16" w:rsidR="00EA5290" w:rsidRPr="00201AFD" w:rsidRDefault="00201AFD" w:rsidP="0059227F">
      <w:pPr>
        <w:spacing w:before="120" w:after="120"/>
        <w:rPr>
          <w:rFonts w:ascii="Arial" w:hAnsi="Arial" w:cs="Arial"/>
          <w:b/>
          <w:bCs/>
          <w:sz w:val="24"/>
          <w:szCs w:val="24"/>
        </w:rPr>
      </w:pPr>
      <w:r w:rsidRPr="00201AFD">
        <w:rPr>
          <w:rFonts w:ascii="Arial" w:hAnsi="Arial" w:cs="Arial"/>
          <w:b/>
          <w:bCs/>
          <w:sz w:val="24"/>
          <w:szCs w:val="24"/>
        </w:rPr>
        <w:t>BY</w:t>
      </w:r>
      <w:r w:rsidRPr="00201AFD">
        <w:rPr>
          <w:rFonts w:ascii="Arial" w:hAnsi="Arial" w:cs="Arial"/>
          <w:b/>
          <w:bCs/>
          <w:sz w:val="24"/>
          <w:szCs w:val="24"/>
        </w:rPr>
        <w:tab/>
      </w:r>
      <w:r>
        <w:rPr>
          <w:rFonts w:ascii="Arial" w:hAnsi="Arial" w:cs="Arial"/>
          <w:b/>
          <w:bCs/>
          <w:sz w:val="24"/>
          <w:szCs w:val="24"/>
        </w:rPr>
        <w:tab/>
      </w:r>
      <w:r w:rsidRPr="00201AFD">
        <w:rPr>
          <w:rFonts w:ascii="Arial" w:hAnsi="Arial" w:cs="Arial"/>
          <w:b/>
          <w:bCs/>
          <w:sz w:val="24"/>
          <w:szCs w:val="24"/>
        </w:rPr>
        <w:t>Rebecca Evans MS, Minister for Finance and Local Government</w:t>
      </w:r>
    </w:p>
    <w:p w14:paraId="0493E512" w14:textId="4251A6E8" w:rsidR="00EA5290" w:rsidRDefault="00EA5290" w:rsidP="00EA5290">
      <w:pPr>
        <w:pStyle w:val="BodyText"/>
        <w:jc w:val="left"/>
        <w:rPr>
          <w:lang w:val="en-US"/>
        </w:rPr>
      </w:pPr>
    </w:p>
    <w:p w14:paraId="3C13DD02" w14:textId="0B851B7B" w:rsidR="00154A32" w:rsidRPr="002C0FD1" w:rsidRDefault="00C01094" w:rsidP="00201AFD">
      <w:pPr>
        <w:pStyle w:val="Heading1"/>
        <w:rPr>
          <w:b w:val="0"/>
          <w:bCs/>
        </w:rPr>
      </w:pPr>
      <w:r w:rsidRPr="002C0FD1">
        <w:rPr>
          <w:b w:val="0"/>
          <w:bCs/>
        </w:rPr>
        <w:t>Following today’s announcement of the Welsh Government’s Final Budget</w:t>
      </w:r>
      <w:r w:rsidR="007F490B" w:rsidRPr="002C0FD1">
        <w:rPr>
          <w:b w:val="0"/>
          <w:bCs/>
        </w:rPr>
        <w:t>,</w:t>
      </w:r>
      <w:r w:rsidR="00154A32" w:rsidRPr="002C0FD1">
        <w:rPr>
          <w:b w:val="0"/>
          <w:bCs/>
        </w:rPr>
        <w:t xml:space="preserve"> I am publishing details of the core funding allocations for </w:t>
      </w:r>
      <w:r w:rsidR="00990449" w:rsidRPr="002C0FD1">
        <w:rPr>
          <w:b w:val="0"/>
          <w:bCs/>
        </w:rPr>
        <w:t xml:space="preserve">local </w:t>
      </w:r>
      <w:r w:rsidR="00154A32" w:rsidRPr="002C0FD1">
        <w:rPr>
          <w:b w:val="0"/>
          <w:bCs/>
        </w:rPr>
        <w:t xml:space="preserve">authorities for the forthcoming financial year through the </w:t>
      </w:r>
      <w:r w:rsidRPr="002C0FD1">
        <w:rPr>
          <w:b w:val="0"/>
          <w:bCs/>
        </w:rPr>
        <w:t>Final</w:t>
      </w:r>
      <w:r w:rsidR="002B3ED8" w:rsidRPr="002C0FD1">
        <w:rPr>
          <w:b w:val="0"/>
          <w:bCs/>
        </w:rPr>
        <w:t xml:space="preserve"> Local Government Revenue and Capital Settlements for 202</w:t>
      </w:r>
      <w:r w:rsidR="00B1759B" w:rsidRPr="002C0FD1">
        <w:rPr>
          <w:b w:val="0"/>
          <w:bCs/>
        </w:rPr>
        <w:t>2</w:t>
      </w:r>
      <w:r w:rsidR="002B3ED8" w:rsidRPr="002C0FD1">
        <w:rPr>
          <w:b w:val="0"/>
          <w:bCs/>
        </w:rPr>
        <w:t>-2</w:t>
      </w:r>
      <w:r w:rsidR="00B1759B" w:rsidRPr="002C0FD1">
        <w:rPr>
          <w:b w:val="0"/>
          <w:bCs/>
        </w:rPr>
        <w:t>3</w:t>
      </w:r>
      <w:r w:rsidR="002B3ED8" w:rsidRPr="002C0FD1">
        <w:rPr>
          <w:b w:val="0"/>
          <w:bCs/>
        </w:rPr>
        <w:t xml:space="preserve"> (the </w:t>
      </w:r>
      <w:r w:rsidR="00222953" w:rsidRPr="002C0FD1">
        <w:rPr>
          <w:b w:val="0"/>
          <w:bCs/>
        </w:rPr>
        <w:t>S</w:t>
      </w:r>
      <w:r w:rsidR="00990449" w:rsidRPr="002C0FD1">
        <w:rPr>
          <w:b w:val="0"/>
          <w:bCs/>
        </w:rPr>
        <w:t>ettlement</w:t>
      </w:r>
      <w:r w:rsidR="002B3ED8" w:rsidRPr="002C0FD1">
        <w:rPr>
          <w:b w:val="0"/>
          <w:bCs/>
        </w:rPr>
        <w:t>)</w:t>
      </w:r>
      <w:r w:rsidR="00556F69" w:rsidRPr="002C0FD1">
        <w:rPr>
          <w:b w:val="0"/>
          <w:bCs/>
        </w:rPr>
        <w:t xml:space="preserve">. </w:t>
      </w:r>
      <w:r w:rsidR="00B1759B" w:rsidRPr="002C0FD1">
        <w:rPr>
          <w:b w:val="0"/>
          <w:bCs/>
        </w:rPr>
        <w:t xml:space="preserve">I am also publishing Wales-level indicative core funding allocations for </w:t>
      </w:r>
      <w:r w:rsidR="002C27C6" w:rsidRPr="002C0FD1">
        <w:rPr>
          <w:b w:val="0"/>
          <w:bCs/>
        </w:rPr>
        <w:t>2023-24 and 2024-25</w:t>
      </w:r>
      <w:r w:rsidR="00B1759B" w:rsidRPr="002C0FD1">
        <w:rPr>
          <w:b w:val="0"/>
          <w:bCs/>
        </w:rPr>
        <w:t>.</w:t>
      </w:r>
    </w:p>
    <w:p w14:paraId="0C7BE2C7" w14:textId="07B79C67" w:rsidR="009549AF" w:rsidRPr="002C0FD1" w:rsidRDefault="009549AF" w:rsidP="009549AF">
      <w:pPr>
        <w:rPr>
          <w:lang w:eastAsia="en-GB"/>
        </w:rPr>
      </w:pPr>
    </w:p>
    <w:p w14:paraId="29F7C00F" w14:textId="3E09FBC2" w:rsidR="009549AF" w:rsidRPr="005A115E" w:rsidRDefault="009549AF" w:rsidP="009549AF">
      <w:pPr>
        <w:rPr>
          <w:lang w:eastAsia="en-GB"/>
        </w:rPr>
      </w:pPr>
      <w:r w:rsidRPr="002C0FD1">
        <w:rPr>
          <w:rFonts w:ascii="Arial" w:hAnsi="Arial" w:cs="Arial"/>
          <w:sz w:val="24"/>
          <w:szCs w:val="24"/>
        </w:rPr>
        <w:t xml:space="preserve">In preparing the final Settlement, I have </w:t>
      </w:r>
      <w:proofErr w:type="gramStart"/>
      <w:r w:rsidRPr="002C0FD1">
        <w:rPr>
          <w:rFonts w:ascii="Arial" w:hAnsi="Arial" w:cs="Arial"/>
          <w:sz w:val="24"/>
          <w:szCs w:val="24"/>
        </w:rPr>
        <w:t>given careful consideration to</w:t>
      </w:r>
      <w:proofErr w:type="gramEnd"/>
      <w:r w:rsidRPr="002C0FD1">
        <w:rPr>
          <w:rFonts w:ascii="Arial" w:hAnsi="Arial" w:cs="Arial"/>
          <w:sz w:val="24"/>
          <w:szCs w:val="24"/>
        </w:rPr>
        <w:t xml:space="preserve"> the responses I received to the </w:t>
      </w:r>
      <w:r w:rsidRPr="005A115E">
        <w:rPr>
          <w:rFonts w:ascii="Arial" w:hAnsi="Arial" w:cs="Arial"/>
          <w:sz w:val="24"/>
          <w:szCs w:val="24"/>
        </w:rPr>
        <w:t>consultation on the provision</w:t>
      </w:r>
      <w:r w:rsidR="003127CC" w:rsidRPr="005A115E">
        <w:rPr>
          <w:rFonts w:ascii="Arial" w:hAnsi="Arial" w:cs="Arial"/>
          <w:sz w:val="24"/>
          <w:szCs w:val="24"/>
        </w:rPr>
        <w:t xml:space="preserve">al settlement, which </w:t>
      </w:r>
      <w:r w:rsidR="003127CC" w:rsidRPr="005A115E">
        <w:rPr>
          <w:rFonts w:ascii="Arial" w:hAnsi="Arial" w:cs="Arial"/>
          <w:sz w:val="24"/>
          <w:szCs w:val="24"/>
        </w:rPr>
        <w:lastRenderedPageBreak/>
        <w:t>closed on 8</w:t>
      </w:r>
      <w:r w:rsidRPr="005A115E">
        <w:rPr>
          <w:rFonts w:ascii="Arial" w:hAnsi="Arial" w:cs="Arial"/>
          <w:sz w:val="24"/>
          <w:szCs w:val="24"/>
        </w:rPr>
        <w:t xml:space="preserve"> February. The responses did not identify any matters which required a change of approach for the final Settlement.</w:t>
      </w:r>
    </w:p>
    <w:p w14:paraId="6D1A0E13" w14:textId="1B9ADB07" w:rsidR="00522985" w:rsidRPr="005A115E" w:rsidRDefault="00522985" w:rsidP="00154A32">
      <w:pPr>
        <w:keepLines/>
        <w:rPr>
          <w:rFonts w:ascii="Arial" w:hAnsi="Arial" w:cs="Arial"/>
          <w:sz w:val="24"/>
          <w:szCs w:val="24"/>
        </w:rPr>
      </w:pPr>
    </w:p>
    <w:p w14:paraId="5FE3D500" w14:textId="43BD2C90" w:rsidR="007F490B" w:rsidRPr="005A115E" w:rsidRDefault="00A432B6" w:rsidP="00A432B6">
      <w:pPr>
        <w:keepLines/>
        <w:rPr>
          <w:rFonts w:ascii="Arial" w:hAnsi="Arial" w:cs="Arial"/>
          <w:sz w:val="24"/>
          <w:szCs w:val="24"/>
        </w:rPr>
      </w:pPr>
      <w:r w:rsidRPr="005A115E">
        <w:rPr>
          <w:rFonts w:ascii="Arial" w:hAnsi="Arial" w:cs="Arial"/>
          <w:sz w:val="24"/>
          <w:szCs w:val="24"/>
        </w:rPr>
        <w:t>Adjusting for transfers, the core revenue funding for local government in 2022-23 will increase by 9.4% on a like-for-like basis compared to the current year</w:t>
      </w:r>
      <w:r w:rsidR="00556F69" w:rsidRPr="005A115E">
        <w:rPr>
          <w:rFonts w:ascii="Arial" w:hAnsi="Arial" w:cs="Arial"/>
          <w:sz w:val="24"/>
          <w:szCs w:val="24"/>
        </w:rPr>
        <w:t xml:space="preserve">. </w:t>
      </w:r>
      <w:r w:rsidR="00586230" w:rsidRPr="005A115E">
        <w:rPr>
          <w:rFonts w:ascii="Arial" w:hAnsi="Arial" w:cs="Arial"/>
          <w:sz w:val="24"/>
          <w:szCs w:val="24"/>
        </w:rPr>
        <w:t xml:space="preserve">No authority will receive less than </w:t>
      </w:r>
      <w:r w:rsidR="003A445A" w:rsidRPr="005A115E">
        <w:rPr>
          <w:rFonts w:ascii="Arial" w:hAnsi="Arial" w:cs="Arial"/>
          <w:sz w:val="24"/>
          <w:szCs w:val="24"/>
        </w:rPr>
        <w:t xml:space="preserve">an </w:t>
      </w:r>
      <w:r w:rsidR="00586230" w:rsidRPr="005A115E">
        <w:rPr>
          <w:rFonts w:ascii="Arial" w:hAnsi="Arial" w:cs="Arial"/>
          <w:sz w:val="24"/>
          <w:szCs w:val="24"/>
        </w:rPr>
        <w:t>8.4% increase</w:t>
      </w:r>
      <w:r w:rsidR="00556F69" w:rsidRPr="005A115E">
        <w:rPr>
          <w:rFonts w:ascii="Arial" w:hAnsi="Arial" w:cs="Arial"/>
          <w:sz w:val="24"/>
          <w:szCs w:val="24"/>
        </w:rPr>
        <w:t xml:space="preserve">. </w:t>
      </w:r>
      <w:r w:rsidRPr="005A115E">
        <w:rPr>
          <w:rFonts w:ascii="Arial" w:hAnsi="Arial" w:cs="Arial"/>
          <w:sz w:val="24"/>
          <w:szCs w:val="24"/>
        </w:rPr>
        <w:t>In 2022-23, local authorities will receive £5.1</w:t>
      </w:r>
      <w:r w:rsidR="00990449" w:rsidRPr="005A115E">
        <w:rPr>
          <w:rFonts w:ascii="Arial" w:hAnsi="Arial" w:cs="Arial"/>
          <w:sz w:val="24"/>
          <w:szCs w:val="24"/>
        </w:rPr>
        <w:t xml:space="preserve">bn </w:t>
      </w:r>
      <w:r w:rsidRPr="005A115E">
        <w:rPr>
          <w:rFonts w:ascii="Arial" w:hAnsi="Arial" w:cs="Arial"/>
          <w:sz w:val="24"/>
          <w:szCs w:val="24"/>
        </w:rPr>
        <w:t>from the Welsh Government in Revenue Support Grant (RSG) and non-domestic rates (NDR) to sp</w:t>
      </w:r>
      <w:r w:rsidR="00476FFE" w:rsidRPr="005A115E">
        <w:rPr>
          <w:rFonts w:ascii="Arial" w:hAnsi="Arial" w:cs="Arial"/>
          <w:sz w:val="24"/>
          <w:szCs w:val="24"/>
        </w:rPr>
        <w:t>end on delivering key services.</w:t>
      </w:r>
    </w:p>
    <w:p w14:paraId="3CA472AD" w14:textId="099AC0A5" w:rsidR="00522985" w:rsidRPr="005A115E" w:rsidRDefault="00522985" w:rsidP="00154A32">
      <w:pPr>
        <w:keepLines/>
        <w:rPr>
          <w:rFonts w:ascii="Arial" w:hAnsi="Arial" w:cs="Arial"/>
          <w:sz w:val="24"/>
          <w:szCs w:val="24"/>
        </w:rPr>
      </w:pPr>
    </w:p>
    <w:p w14:paraId="3B1419A9" w14:textId="3DAC713E" w:rsidR="00A432B6" w:rsidRPr="005A115E" w:rsidRDefault="00A432B6" w:rsidP="00A432B6">
      <w:pPr>
        <w:keepLines/>
        <w:rPr>
          <w:rFonts w:ascii="Arial" w:hAnsi="Arial" w:cs="Arial"/>
          <w:sz w:val="24"/>
          <w:szCs w:val="24"/>
        </w:rPr>
      </w:pPr>
      <w:r w:rsidRPr="005A115E">
        <w:rPr>
          <w:rFonts w:ascii="Arial" w:hAnsi="Arial" w:cs="Arial"/>
          <w:iCs/>
          <w:sz w:val="24"/>
          <w:szCs w:val="24"/>
        </w:rPr>
        <w:t xml:space="preserve">In addition to this, I am publishing information </w:t>
      </w:r>
      <w:r w:rsidRPr="005A115E">
        <w:rPr>
          <w:rFonts w:ascii="Arial" w:hAnsi="Arial" w:cs="Arial"/>
          <w:sz w:val="24"/>
          <w:szCs w:val="24"/>
        </w:rPr>
        <w:t>on revenue and capital grants planned for the following three years</w:t>
      </w:r>
      <w:r w:rsidR="00556F69" w:rsidRPr="005A115E">
        <w:rPr>
          <w:rFonts w:ascii="Arial" w:hAnsi="Arial" w:cs="Arial"/>
          <w:sz w:val="24"/>
          <w:szCs w:val="24"/>
        </w:rPr>
        <w:t xml:space="preserve">. </w:t>
      </w:r>
      <w:r w:rsidRPr="005A115E">
        <w:rPr>
          <w:rFonts w:ascii="Arial" w:hAnsi="Arial" w:cs="Arial"/>
          <w:sz w:val="24"/>
          <w:szCs w:val="24"/>
        </w:rPr>
        <w:t xml:space="preserve">For 2022-23, these amount to </w:t>
      </w:r>
      <w:r w:rsidR="00990449" w:rsidRPr="005A115E">
        <w:rPr>
          <w:rFonts w:ascii="Arial" w:hAnsi="Arial" w:cs="Arial"/>
          <w:sz w:val="24"/>
          <w:szCs w:val="24"/>
        </w:rPr>
        <w:t xml:space="preserve">more than </w:t>
      </w:r>
      <w:r w:rsidRPr="005A115E">
        <w:rPr>
          <w:rFonts w:ascii="Arial" w:hAnsi="Arial" w:cs="Arial"/>
          <w:sz w:val="24"/>
          <w:szCs w:val="24"/>
        </w:rPr>
        <w:t>£1</w:t>
      </w:r>
      <w:r w:rsidR="00D44290" w:rsidRPr="005A115E">
        <w:rPr>
          <w:rFonts w:ascii="Arial" w:hAnsi="Arial" w:cs="Arial"/>
          <w:sz w:val="24"/>
          <w:szCs w:val="24"/>
        </w:rPr>
        <w:t>.1</w:t>
      </w:r>
      <w:r w:rsidR="00990449" w:rsidRPr="005A115E">
        <w:rPr>
          <w:rFonts w:ascii="Arial" w:hAnsi="Arial" w:cs="Arial"/>
          <w:sz w:val="24"/>
          <w:szCs w:val="24"/>
        </w:rPr>
        <w:t>bn</w:t>
      </w:r>
      <w:r w:rsidRPr="005A115E">
        <w:rPr>
          <w:rFonts w:ascii="Arial" w:hAnsi="Arial" w:cs="Arial"/>
          <w:sz w:val="24"/>
          <w:szCs w:val="24"/>
        </w:rPr>
        <w:t xml:space="preserve"> for revenue and over £</w:t>
      </w:r>
      <w:r w:rsidR="00D44290" w:rsidRPr="005A115E">
        <w:rPr>
          <w:rFonts w:ascii="Arial" w:hAnsi="Arial" w:cs="Arial"/>
          <w:sz w:val="24"/>
          <w:szCs w:val="24"/>
        </w:rPr>
        <w:t>7</w:t>
      </w:r>
      <w:r w:rsidRPr="005A115E">
        <w:rPr>
          <w:rFonts w:ascii="Arial" w:hAnsi="Arial" w:cs="Arial"/>
          <w:sz w:val="24"/>
          <w:szCs w:val="24"/>
        </w:rPr>
        <w:t>00</w:t>
      </w:r>
      <w:r w:rsidR="00990449" w:rsidRPr="005A115E">
        <w:rPr>
          <w:rFonts w:ascii="Arial" w:hAnsi="Arial" w:cs="Arial"/>
          <w:sz w:val="24"/>
          <w:szCs w:val="24"/>
        </w:rPr>
        <w:t>m</w:t>
      </w:r>
      <w:r w:rsidRPr="005A115E">
        <w:rPr>
          <w:rFonts w:ascii="Arial" w:hAnsi="Arial" w:cs="Arial"/>
          <w:sz w:val="24"/>
          <w:szCs w:val="24"/>
        </w:rPr>
        <w:t xml:space="preserve"> for capital</w:t>
      </w:r>
      <w:r w:rsidR="00556F69" w:rsidRPr="005A115E">
        <w:rPr>
          <w:rFonts w:ascii="Arial" w:hAnsi="Arial" w:cs="Arial"/>
          <w:sz w:val="24"/>
          <w:szCs w:val="24"/>
        </w:rPr>
        <w:t xml:space="preserve">.  </w:t>
      </w:r>
      <w:r w:rsidR="00990449" w:rsidRPr="005A115E">
        <w:rPr>
          <w:rFonts w:ascii="Arial" w:hAnsi="Arial" w:cs="Arial"/>
          <w:sz w:val="24"/>
          <w:szCs w:val="24"/>
        </w:rPr>
        <w:t xml:space="preserve">We are </w:t>
      </w:r>
      <w:r w:rsidRPr="005A115E">
        <w:rPr>
          <w:rFonts w:ascii="Arial" w:hAnsi="Arial" w:cs="Arial"/>
          <w:sz w:val="24"/>
          <w:szCs w:val="24"/>
        </w:rPr>
        <w:t>providing these indicative grant values now so local authorities are able to plan their budgets efficiently</w:t>
      </w:r>
      <w:r w:rsidR="00556F69" w:rsidRPr="005A115E">
        <w:rPr>
          <w:rFonts w:ascii="Arial" w:hAnsi="Arial" w:cs="Arial"/>
          <w:sz w:val="24"/>
          <w:szCs w:val="24"/>
        </w:rPr>
        <w:t>.</w:t>
      </w:r>
    </w:p>
    <w:p w14:paraId="7C60143E" w14:textId="0CF590C1" w:rsidR="007F490B" w:rsidRPr="005A115E" w:rsidRDefault="007F490B" w:rsidP="00A432B6">
      <w:pPr>
        <w:keepLines/>
        <w:rPr>
          <w:rFonts w:ascii="Arial" w:hAnsi="Arial" w:cs="Arial"/>
          <w:sz w:val="24"/>
          <w:szCs w:val="24"/>
        </w:rPr>
      </w:pPr>
    </w:p>
    <w:p w14:paraId="2E798349" w14:textId="5186E437" w:rsidR="007F490B" w:rsidRPr="005A115E" w:rsidRDefault="007F490B" w:rsidP="007F490B">
      <w:pPr>
        <w:keepLines/>
        <w:rPr>
          <w:rFonts w:ascii="Arial" w:hAnsi="Arial" w:cs="Arial"/>
          <w:sz w:val="24"/>
          <w:szCs w:val="24"/>
        </w:rPr>
      </w:pPr>
      <w:r w:rsidRPr="005A115E">
        <w:rPr>
          <w:rFonts w:ascii="Arial" w:hAnsi="Arial" w:cs="Arial"/>
          <w:sz w:val="24"/>
          <w:szCs w:val="24"/>
        </w:rPr>
        <w:t xml:space="preserve">The indicative Wales-level core revenue funding allocations for 2023-24 and 2024-25 are £5.3bn and £5.4bn respectively – equating to an uplift in the first year of £177m (3.5%) and, in the second year, of £128m (2.4%). These figures are indicative and dependent on both our current estimates of NDR income over the multi-year settlement period, and the funding provided to us by the UK Government through the 2021 Comprehensive Spending Review.  </w:t>
      </w:r>
    </w:p>
    <w:p w14:paraId="669B48FA" w14:textId="77777777" w:rsidR="007F490B" w:rsidRPr="005A115E" w:rsidRDefault="007F490B" w:rsidP="007F490B">
      <w:pPr>
        <w:keepLines/>
        <w:rPr>
          <w:rFonts w:ascii="Arial" w:hAnsi="Arial" w:cs="Arial"/>
          <w:sz w:val="24"/>
          <w:szCs w:val="24"/>
        </w:rPr>
      </w:pPr>
    </w:p>
    <w:p w14:paraId="0D39D9B5" w14:textId="6C61EDAD" w:rsidR="007F490B" w:rsidRPr="005A115E" w:rsidRDefault="007F490B" w:rsidP="007F490B">
      <w:pPr>
        <w:keepLines/>
        <w:rPr>
          <w:rFonts w:ascii="Arial" w:hAnsi="Arial" w:cs="Arial"/>
          <w:sz w:val="24"/>
          <w:szCs w:val="24"/>
        </w:rPr>
      </w:pPr>
      <w:r w:rsidRPr="005A115E">
        <w:rPr>
          <w:rFonts w:ascii="Arial" w:hAnsi="Arial" w:cs="Arial"/>
          <w:sz w:val="24"/>
          <w:szCs w:val="24"/>
        </w:rPr>
        <w:t>Indications are that specific revenue grant funding will continue to be above £1</w:t>
      </w:r>
      <w:r w:rsidR="00D44290" w:rsidRPr="005A115E">
        <w:rPr>
          <w:rFonts w:ascii="Arial" w:hAnsi="Arial" w:cs="Arial"/>
          <w:sz w:val="24"/>
          <w:szCs w:val="24"/>
        </w:rPr>
        <w:t>.1</w:t>
      </w:r>
      <w:r w:rsidRPr="005A115E">
        <w:rPr>
          <w:rFonts w:ascii="Arial" w:hAnsi="Arial" w:cs="Arial"/>
          <w:sz w:val="24"/>
          <w:szCs w:val="24"/>
        </w:rPr>
        <w:t>bn annually for the duration of this multi-year settlement, and capital grants will be in excess of £</w:t>
      </w:r>
      <w:r w:rsidR="00D44290" w:rsidRPr="005A115E">
        <w:rPr>
          <w:rFonts w:ascii="Arial" w:hAnsi="Arial" w:cs="Arial"/>
          <w:sz w:val="24"/>
          <w:szCs w:val="24"/>
        </w:rPr>
        <w:t>7</w:t>
      </w:r>
      <w:r w:rsidRPr="005A115E">
        <w:rPr>
          <w:rFonts w:ascii="Arial" w:hAnsi="Arial" w:cs="Arial"/>
          <w:sz w:val="24"/>
          <w:szCs w:val="24"/>
        </w:rPr>
        <w:t>00m each year.</w:t>
      </w:r>
    </w:p>
    <w:p w14:paraId="10DD306B" w14:textId="77777777" w:rsidR="00A432B6" w:rsidRPr="005A115E" w:rsidRDefault="00A432B6" w:rsidP="00154A32">
      <w:pPr>
        <w:keepLines/>
        <w:rPr>
          <w:rFonts w:ascii="Arial" w:hAnsi="Arial" w:cs="Arial"/>
          <w:sz w:val="24"/>
          <w:szCs w:val="24"/>
        </w:rPr>
      </w:pPr>
    </w:p>
    <w:p w14:paraId="6AB2EC89" w14:textId="152C8311" w:rsidR="00B05A62" w:rsidRPr="005A115E" w:rsidRDefault="00583443" w:rsidP="00B05A62">
      <w:pPr>
        <w:rPr>
          <w:rFonts w:ascii="Arial" w:hAnsi="Arial"/>
          <w:sz w:val="24"/>
        </w:rPr>
      </w:pPr>
      <w:r w:rsidRPr="005A115E">
        <w:rPr>
          <w:rFonts w:ascii="Arial" w:hAnsi="Arial" w:cs="Arial"/>
          <w:sz w:val="24"/>
          <w:szCs w:val="24"/>
        </w:rPr>
        <w:lastRenderedPageBreak/>
        <w:t>Other than a small increase of £96 thousand to the distributable RSG</w:t>
      </w:r>
      <w:r w:rsidR="00E944AD" w:rsidRPr="005A115E">
        <w:rPr>
          <w:rFonts w:ascii="Arial" w:hAnsi="Arial" w:cs="Arial"/>
          <w:sz w:val="24"/>
          <w:szCs w:val="24"/>
        </w:rPr>
        <w:t xml:space="preserve"> </w:t>
      </w:r>
      <w:proofErr w:type="gramStart"/>
      <w:r w:rsidR="00E944AD" w:rsidRPr="005A115E">
        <w:rPr>
          <w:rFonts w:ascii="Arial" w:hAnsi="Arial" w:cs="Arial"/>
          <w:sz w:val="24"/>
          <w:szCs w:val="24"/>
        </w:rPr>
        <w:t>as a result</w:t>
      </w:r>
      <w:proofErr w:type="gramEnd"/>
      <w:r w:rsidR="00E944AD" w:rsidRPr="005A115E">
        <w:rPr>
          <w:rFonts w:ascii="Arial" w:hAnsi="Arial" w:cs="Arial"/>
          <w:sz w:val="24"/>
          <w:szCs w:val="24"/>
        </w:rPr>
        <w:t xml:space="preserve"> of a technical adjustment</w:t>
      </w:r>
      <w:r w:rsidR="00BB5326">
        <w:rPr>
          <w:rFonts w:ascii="Arial" w:hAnsi="Arial" w:cs="Arial"/>
          <w:sz w:val="24"/>
          <w:szCs w:val="24"/>
        </w:rPr>
        <w:t>,</w:t>
      </w:r>
      <w:r w:rsidR="00E944AD" w:rsidRPr="005A115E">
        <w:rPr>
          <w:rFonts w:ascii="Arial" w:hAnsi="Arial" w:cs="Arial"/>
          <w:sz w:val="24"/>
          <w:szCs w:val="24"/>
        </w:rPr>
        <w:t xml:space="preserve"> </w:t>
      </w:r>
      <w:r w:rsidR="00B05A62" w:rsidRPr="005A115E">
        <w:rPr>
          <w:rFonts w:ascii="Arial" w:hAnsi="Arial" w:cs="Arial"/>
          <w:sz w:val="24"/>
          <w:szCs w:val="24"/>
        </w:rPr>
        <w:t>I allocated all available funding into the provisional settlement to give as much early certainty as I could to authorities.  I have no further funding currently available</w:t>
      </w:r>
      <w:r w:rsidRPr="005A115E">
        <w:rPr>
          <w:rFonts w:ascii="Arial" w:hAnsi="Arial" w:cs="Arial"/>
          <w:sz w:val="24"/>
          <w:szCs w:val="24"/>
        </w:rPr>
        <w:t>.</w:t>
      </w:r>
    </w:p>
    <w:p w14:paraId="61ABC9F1" w14:textId="77777777" w:rsidR="00B05A62" w:rsidRPr="005A115E" w:rsidRDefault="00B05A62" w:rsidP="00A432B6">
      <w:pPr>
        <w:keepLines/>
        <w:rPr>
          <w:rFonts w:ascii="Arial" w:hAnsi="Arial" w:cs="Arial"/>
          <w:sz w:val="24"/>
          <w:szCs w:val="24"/>
        </w:rPr>
      </w:pPr>
    </w:p>
    <w:p w14:paraId="2483AD9A" w14:textId="67ACF1A0" w:rsidR="000D6320" w:rsidRPr="005A115E" w:rsidRDefault="00A432B6" w:rsidP="00A432B6">
      <w:pPr>
        <w:keepLines/>
        <w:rPr>
          <w:rFonts w:ascii="Arial" w:hAnsi="Arial" w:cs="Arial"/>
          <w:sz w:val="24"/>
          <w:szCs w:val="24"/>
        </w:rPr>
      </w:pPr>
      <w:r w:rsidRPr="005A115E">
        <w:rPr>
          <w:rFonts w:ascii="Arial" w:hAnsi="Arial" w:cs="Arial"/>
          <w:sz w:val="24"/>
          <w:szCs w:val="24"/>
        </w:rPr>
        <w:t xml:space="preserve">As in recent years, </w:t>
      </w:r>
      <w:r w:rsidR="00990449" w:rsidRPr="005A115E">
        <w:rPr>
          <w:rFonts w:ascii="Arial" w:hAnsi="Arial" w:cs="Arial"/>
          <w:sz w:val="24"/>
          <w:szCs w:val="24"/>
        </w:rPr>
        <w:t>our</w:t>
      </w:r>
      <w:r w:rsidRPr="005A115E">
        <w:rPr>
          <w:rFonts w:ascii="Arial" w:hAnsi="Arial" w:cs="Arial"/>
          <w:sz w:val="24"/>
          <w:szCs w:val="24"/>
        </w:rPr>
        <w:t xml:space="preserve"> priorities continue to be health </w:t>
      </w:r>
      <w:r w:rsidR="00476FFE" w:rsidRPr="005A115E">
        <w:rPr>
          <w:rFonts w:ascii="Arial" w:hAnsi="Arial" w:cs="Arial"/>
          <w:sz w:val="24"/>
          <w:szCs w:val="24"/>
        </w:rPr>
        <w:t>and local government services</w:t>
      </w:r>
      <w:r w:rsidR="00556F69" w:rsidRPr="005A115E">
        <w:rPr>
          <w:rFonts w:ascii="Arial" w:hAnsi="Arial" w:cs="Arial"/>
          <w:sz w:val="24"/>
          <w:szCs w:val="24"/>
        </w:rPr>
        <w:t xml:space="preserve">. </w:t>
      </w:r>
      <w:r w:rsidR="00586230" w:rsidRPr="005A115E">
        <w:rPr>
          <w:rFonts w:ascii="Arial" w:hAnsi="Arial" w:cs="Arial"/>
          <w:sz w:val="24"/>
          <w:szCs w:val="24"/>
        </w:rPr>
        <w:t xml:space="preserve">This significantly increased </w:t>
      </w:r>
      <w:r w:rsidR="00222953" w:rsidRPr="005A115E">
        <w:rPr>
          <w:rFonts w:ascii="Arial" w:hAnsi="Arial" w:cs="Arial"/>
          <w:sz w:val="24"/>
          <w:szCs w:val="24"/>
        </w:rPr>
        <w:t>S</w:t>
      </w:r>
      <w:r w:rsidR="00990449" w:rsidRPr="005A115E">
        <w:rPr>
          <w:rFonts w:ascii="Arial" w:hAnsi="Arial" w:cs="Arial"/>
          <w:sz w:val="24"/>
          <w:szCs w:val="24"/>
        </w:rPr>
        <w:t xml:space="preserve">ettlement </w:t>
      </w:r>
      <w:r w:rsidRPr="005A115E">
        <w:rPr>
          <w:rFonts w:ascii="Arial" w:hAnsi="Arial" w:cs="Arial"/>
          <w:sz w:val="24"/>
          <w:szCs w:val="24"/>
        </w:rPr>
        <w:t xml:space="preserve">will enable local authorities </w:t>
      </w:r>
      <w:r w:rsidR="00586230" w:rsidRPr="005A115E">
        <w:rPr>
          <w:rFonts w:ascii="Arial" w:hAnsi="Arial" w:cs="Arial"/>
          <w:sz w:val="24"/>
          <w:szCs w:val="24"/>
        </w:rPr>
        <w:t xml:space="preserve">to continue to deliver the services their communities want and need </w:t>
      </w:r>
      <w:r w:rsidR="00990449" w:rsidRPr="005A115E">
        <w:rPr>
          <w:rFonts w:ascii="Arial" w:hAnsi="Arial" w:cs="Arial"/>
          <w:sz w:val="24"/>
          <w:szCs w:val="24"/>
        </w:rPr>
        <w:t>as well as supporting</w:t>
      </w:r>
      <w:r w:rsidR="00586230" w:rsidRPr="005A115E">
        <w:rPr>
          <w:rFonts w:ascii="Arial" w:hAnsi="Arial" w:cs="Arial"/>
          <w:sz w:val="24"/>
          <w:szCs w:val="24"/>
        </w:rPr>
        <w:t xml:space="preserve"> </w:t>
      </w:r>
      <w:r w:rsidR="00C236CA" w:rsidRPr="005A115E">
        <w:rPr>
          <w:rFonts w:ascii="Arial" w:hAnsi="Arial" w:cs="Arial"/>
          <w:sz w:val="24"/>
          <w:szCs w:val="24"/>
        </w:rPr>
        <w:t xml:space="preserve">national and local </w:t>
      </w:r>
      <w:r w:rsidR="00586230" w:rsidRPr="005A115E">
        <w:rPr>
          <w:rFonts w:ascii="Arial" w:hAnsi="Arial" w:cs="Arial"/>
          <w:sz w:val="24"/>
          <w:szCs w:val="24"/>
        </w:rPr>
        <w:t>ambitions for the future</w:t>
      </w:r>
      <w:r w:rsidR="000415F8" w:rsidRPr="005A115E">
        <w:rPr>
          <w:rFonts w:ascii="Arial" w:hAnsi="Arial" w:cs="Arial"/>
          <w:sz w:val="24"/>
          <w:szCs w:val="24"/>
        </w:rPr>
        <w:t xml:space="preserve">, including </w:t>
      </w:r>
      <w:r w:rsidR="000A7DB6" w:rsidRPr="005A115E">
        <w:rPr>
          <w:rFonts w:ascii="Arial" w:hAnsi="Arial" w:cs="Arial"/>
          <w:sz w:val="24"/>
          <w:szCs w:val="24"/>
        </w:rPr>
        <w:t>our</w:t>
      </w:r>
      <w:r w:rsidR="00E944AD" w:rsidRPr="005A115E">
        <w:rPr>
          <w:rFonts w:ascii="Arial" w:hAnsi="Arial" w:cs="Arial"/>
          <w:sz w:val="24"/>
          <w:szCs w:val="24"/>
        </w:rPr>
        <w:t xml:space="preserve"> real living wage for </w:t>
      </w:r>
      <w:r w:rsidR="000A7DB6" w:rsidRPr="005A115E">
        <w:rPr>
          <w:rFonts w:ascii="Arial" w:hAnsi="Arial" w:cs="Arial"/>
          <w:sz w:val="24"/>
          <w:szCs w:val="24"/>
        </w:rPr>
        <w:t xml:space="preserve">social </w:t>
      </w:r>
      <w:r w:rsidR="00E944AD" w:rsidRPr="005A115E">
        <w:rPr>
          <w:rFonts w:ascii="Arial" w:hAnsi="Arial" w:cs="Arial"/>
          <w:sz w:val="24"/>
          <w:szCs w:val="24"/>
        </w:rPr>
        <w:t xml:space="preserve">care </w:t>
      </w:r>
      <w:r w:rsidR="000A7DB6" w:rsidRPr="005A115E">
        <w:rPr>
          <w:rFonts w:ascii="Arial" w:hAnsi="Arial" w:cs="Arial"/>
          <w:sz w:val="24"/>
          <w:szCs w:val="24"/>
        </w:rPr>
        <w:t>commitment</w:t>
      </w:r>
      <w:r w:rsidR="00E944AD" w:rsidRPr="005A115E">
        <w:rPr>
          <w:rFonts w:ascii="Arial" w:hAnsi="Arial" w:cs="Arial"/>
          <w:sz w:val="24"/>
          <w:szCs w:val="24"/>
        </w:rPr>
        <w:t xml:space="preserve"> </w:t>
      </w:r>
      <w:r w:rsidR="00D256C3">
        <w:rPr>
          <w:rFonts w:ascii="Arial" w:hAnsi="Arial" w:cs="Arial"/>
          <w:sz w:val="24"/>
          <w:szCs w:val="24"/>
        </w:rPr>
        <w:t xml:space="preserve">and </w:t>
      </w:r>
      <w:r w:rsidR="000415F8" w:rsidRPr="005A115E">
        <w:rPr>
          <w:rFonts w:ascii="Arial" w:hAnsi="Arial" w:cs="Arial"/>
          <w:sz w:val="24"/>
          <w:szCs w:val="24"/>
        </w:rPr>
        <w:t>responding to the climate and nature emergency</w:t>
      </w:r>
      <w:r w:rsidR="007E0797" w:rsidRPr="005A115E">
        <w:rPr>
          <w:rFonts w:ascii="Arial" w:hAnsi="Arial" w:cs="Arial"/>
          <w:sz w:val="24"/>
          <w:szCs w:val="24"/>
        </w:rPr>
        <w:t xml:space="preserve"> </w:t>
      </w:r>
      <w:r w:rsidR="00990449" w:rsidRPr="005A115E">
        <w:rPr>
          <w:rFonts w:ascii="Arial" w:hAnsi="Arial" w:cs="Arial"/>
          <w:sz w:val="24"/>
          <w:szCs w:val="24"/>
        </w:rPr>
        <w:t xml:space="preserve">contributing to our </w:t>
      </w:r>
      <w:r w:rsidR="007E0797" w:rsidRPr="005A115E">
        <w:rPr>
          <w:rFonts w:ascii="Arial" w:hAnsi="Arial" w:cs="Arial"/>
          <w:sz w:val="24"/>
          <w:szCs w:val="24"/>
        </w:rPr>
        <w:t>Net Zero Wales</w:t>
      </w:r>
      <w:r w:rsidR="00990449" w:rsidRPr="005A115E">
        <w:rPr>
          <w:rFonts w:ascii="Arial" w:hAnsi="Arial" w:cs="Arial"/>
          <w:sz w:val="24"/>
          <w:szCs w:val="24"/>
        </w:rPr>
        <w:t xml:space="preserve"> plan</w:t>
      </w:r>
      <w:r w:rsidR="00476FFE" w:rsidRPr="005A115E">
        <w:rPr>
          <w:rFonts w:ascii="Arial" w:hAnsi="Arial" w:cs="Arial"/>
          <w:sz w:val="24"/>
          <w:szCs w:val="24"/>
        </w:rPr>
        <w:t>.</w:t>
      </w:r>
    </w:p>
    <w:p w14:paraId="3CCA9502" w14:textId="33169573" w:rsidR="000D6320" w:rsidRPr="005A115E" w:rsidRDefault="000D6320" w:rsidP="00A432B6">
      <w:pPr>
        <w:keepLines/>
        <w:rPr>
          <w:rFonts w:ascii="Arial" w:hAnsi="Arial" w:cs="Arial"/>
          <w:sz w:val="24"/>
          <w:szCs w:val="24"/>
        </w:rPr>
      </w:pPr>
    </w:p>
    <w:p w14:paraId="10A0362A" w14:textId="2D6A8D66" w:rsidR="007F490B" w:rsidRPr="005A115E" w:rsidRDefault="007F490B" w:rsidP="007F490B">
      <w:pPr>
        <w:rPr>
          <w:rFonts w:ascii="Arial" w:hAnsi="Arial" w:cs="Arial"/>
          <w:sz w:val="24"/>
          <w:szCs w:val="24"/>
        </w:rPr>
      </w:pPr>
      <w:r w:rsidRPr="005A115E">
        <w:rPr>
          <w:rFonts w:ascii="Arial" w:hAnsi="Arial" w:cs="Arial"/>
          <w:sz w:val="24"/>
          <w:szCs w:val="24"/>
        </w:rPr>
        <w:t xml:space="preserve">This is a good </w:t>
      </w:r>
      <w:r w:rsidR="00222953" w:rsidRPr="005A115E">
        <w:rPr>
          <w:rFonts w:ascii="Arial" w:hAnsi="Arial" w:cs="Arial"/>
          <w:sz w:val="24"/>
          <w:szCs w:val="24"/>
        </w:rPr>
        <w:t>S</w:t>
      </w:r>
      <w:r w:rsidRPr="005A115E">
        <w:rPr>
          <w:rFonts w:ascii="Arial" w:hAnsi="Arial" w:cs="Arial"/>
          <w:sz w:val="24"/>
          <w:szCs w:val="24"/>
        </w:rPr>
        <w:t>ettlement for local government, including Wales-level core funding allocations for 2023-24 and 2024-25. It provides local authorities with a stable platform on which to plan their budgets for the coming financial year and beyond. We have worked closely with local government and we appreciate the pressures local government is facing. We will continue to protect local government, particularly at this difficult and challenging time.</w:t>
      </w:r>
    </w:p>
    <w:p w14:paraId="27E17DB4" w14:textId="4EC40616" w:rsidR="007F490B" w:rsidRPr="005A115E" w:rsidRDefault="007F490B" w:rsidP="00A432B6">
      <w:pPr>
        <w:keepLines/>
        <w:rPr>
          <w:rFonts w:ascii="Arial" w:hAnsi="Arial" w:cs="Arial"/>
          <w:sz w:val="24"/>
          <w:szCs w:val="24"/>
        </w:rPr>
      </w:pPr>
    </w:p>
    <w:p w14:paraId="77A4F7C3" w14:textId="4C8865A1" w:rsidR="00B35886" w:rsidRPr="002C0FD1" w:rsidRDefault="009C02D7" w:rsidP="00B35886">
      <w:pPr>
        <w:autoSpaceDE w:val="0"/>
        <w:autoSpaceDN w:val="0"/>
        <w:rPr>
          <w:rFonts w:ascii="Arial" w:hAnsi="Arial" w:cs="Arial"/>
          <w:sz w:val="24"/>
          <w:szCs w:val="24"/>
        </w:rPr>
      </w:pPr>
      <w:r w:rsidRPr="005A115E">
        <w:rPr>
          <w:rFonts w:ascii="Arial" w:hAnsi="Arial" w:cs="Arial"/>
          <w:sz w:val="24"/>
          <w:szCs w:val="24"/>
        </w:rPr>
        <w:t>I am maintaining the approach taken in 2021</w:t>
      </w:r>
      <w:r w:rsidRPr="002C0FD1">
        <w:rPr>
          <w:rFonts w:ascii="Arial" w:hAnsi="Arial" w:cs="Arial"/>
          <w:sz w:val="24"/>
          <w:szCs w:val="24"/>
        </w:rPr>
        <w:t xml:space="preserve">-22 and am continuing to freeze the </w:t>
      </w:r>
      <w:r w:rsidR="00B85DEB" w:rsidRPr="002C0FD1">
        <w:rPr>
          <w:rFonts w:ascii="Arial" w:hAnsi="Arial" w:cs="Arial"/>
          <w:sz w:val="24"/>
          <w:szCs w:val="24"/>
        </w:rPr>
        <w:t xml:space="preserve">non-domestic rates </w:t>
      </w:r>
      <w:r w:rsidRPr="002C0FD1">
        <w:rPr>
          <w:rFonts w:ascii="Arial" w:hAnsi="Arial" w:cs="Arial"/>
          <w:sz w:val="24"/>
          <w:szCs w:val="24"/>
        </w:rPr>
        <w:t>multiplier for 2022-23</w:t>
      </w:r>
      <w:r w:rsidR="00556F69" w:rsidRPr="002C0FD1">
        <w:rPr>
          <w:rFonts w:ascii="Arial" w:hAnsi="Arial" w:cs="Arial"/>
          <w:sz w:val="24"/>
          <w:szCs w:val="24"/>
        </w:rPr>
        <w:t xml:space="preserve">. </w:t>
      </w:r>
      <w:r w:rsidRPr="002C0FD1">
        <w:rPr>
          <w:rFonts w:ascii="Arial" w:hAnsi="Arial" w:cs="Arial"/>
          <w:sz w:val="24"/>
          <w:szCs w:val="24"/>
        </w:rPr>
        <w:t>I have provided an additional £35</w:t>
      </w:r>
      <w:r w:rsidR="00B85DEB" w:rsidRPr="002C0FD1">
        <w:rPr>
          <w:rFonts w:ascii="Arial" w:hAnsi="Arial" w:cs="Arial"/>
          <w:sz w:val="24"/>
          <w:szCs w:val="24"/>
        </w:rPr>
        <w:t>m</w:t>
      </w:r>
      <w:r w:rsidRPr="002C0FD1">
        <w:rPr>
          <w:rFonts w:ascii="Arial" w:hAnsi="Arial" w:cs="Arial"/>
          <w:sz w:val="24"/>
          <w:szCs w:val="24"/>
        </w:rPr>
        <w:t xml:space="preserve"> in </w:t>
      </w:r>
      <w:r w:rsidR="009A0069" w:rsidRPr="002C0FD1">
        <w:rPr>
          <w:rFonts w:ascii="Arial" w:hAnsi="Arial" w:cs="Arial"/>
          <w:sz w:val="24"/>
          <w:szCs w:val="24"/>
        </w:rPr>
        <w:t>RSG</w:t>
      </w:r>
      <w:r w:rsidRPr="002C0FD1">
        <w:rPr>
          <w:rFonts w:ascii="Arial" w:hAnsi="Arial" w:cs="Arial"/>
          <w:sz w:val="24"/>
          <w:szCs w:val="24"/>
        </w:rPr>
        <w:t xml:space="preserve"> in 2022-23 to offset the reduced income and a further £1m for the following two years</w:t>
      </w:r>
      <w:r w:rsidR="003E0EC4" w:rsidRPr="002C0FD1">
        <w:rPr>
          <w:rFonts w:ascii="Arial" w:hAnsi="Arial" w:cs="Arial"/>
          <w:sz w:val="24"/>
          <w:szCs w:val="24"/>
        </w:rPr>
        <w:t>.</w:t>
      </w:r>
    </w:p>
    <w:p w14:paraId="5DBCEB46" w14:textId="339AD18B" w:rsidR="009C02D7" w:rsidRPr="002C0FD1" w:rsidRDefault="009C02D7" w:rsidP="009C02D7">
      <w:pPr>
        <w:keepLines/>
        <w:rPr>
          <w:rFonts w:ascii="Arial" w:hAnsi="Arial" w:cs="Arial"/>
          <w:sz w:val="24"/>
          <w:szCs w:val="24"/>
        </w:rPr>
      </w:pPr>
    </w:p>
    <w:p w14:paraId="78C90B4D" w14:textId="53C37851" w:rsidR="004E307B" w:rsidRPr="002C0FD1" w:rsidRDefault="004E307B" w:rsidP="004E307B">
      <w:pPr>
        <w:keepLines/>
        <w:rPr>
          <w:rFonts w:ascii="Arial" w:hAnsi="Arial" w:cs="Arial"/>
          <w:sz w:val="24"/>
          <w:szCs w:val="24"/>
        </w:rPr>
      </w:pPr>
      <w:r w:rsidRPr="002C0FD1">
        <w:rPr>
          <w:rFonts w:ascii="Arial" w:hAnsi="Arial" w:cs="Arial"/>
          <w:sz w:val="24"/>
          <w:szCs w:val="24"/>
        </w:rPr>
        <w:lastRenderedPageBreak/>
        <w:t>Attached to this statement is a summary table setting out the Settlement allocations (Aggregate External Finance (AEF)) by authority. The allocations are derived using the formula agreed with local government.  As a result of the formula and related data, the table shows the range of the funding allocations, from an 8.4% increase over the 2021-22 settlement to an 11.2% increase. Given the significant increases, I am not proposing to include a floor this year and have allocated all the available funding in this Settlement.</w:t>
      </w:r>
    </w:p>
    <w:p w14:paraId="0CEB9245" w14:textId="77777777" w:rsidR="004E307B" w:rsidRPr="002C0FD1" w:rsidRDefault="004E307B" w:rsidP="004E307B">
      <w:pPr>
        <w:keepLines/>
        <w:rPr>
          <w:rFonts w:ascii="Arial" w:hAnsi="Arial" w:cs="Arial"/>
          <w:sz w:val="24"/>
          <w:szCs w:val="24"/>
        </w:rPr>
      </w:pPr>
    </w:p>
    <w:p w14:paraId="517032EF" w14:textId="77777777" w:rsidR="004E307B" w:rsidRPr="002C0FD1" w:rsidRDefault="004E307B" w:rsidP="004E307B">
      <w:pPr>
        <w:keepLines/>
        <w:rPr>
          <w:rFonts w:ascii="Arial" w:hAnsi="Arial" w:cs="Arial"/>
          <w:sz w:val="24"/>
          <w:szCs w:val="24"/>
        </w:rPr>
      </w:pPr>
      <w:r w:rsidRPr="002C0FD1">
        <w:rPr>
          <w:rFonts w:ascii="Arial" w:hAnsi="Arial" w:cs="Arial"/>
          <w:sz w:val="24"/>
          <w:szCs w:val="24"/>
        </w:rPr>
        <w:t xml:space="preserve">Further details will be sent to all local authorities and published on the Welsh Government’s website: </w:t>
      </w:r>
      <w:hyperlink r:id="rId12" w:history="1">
        <w:r w:rsidRPr="002C0FD1">
          <w:rPr>
            <w:rStyle w:val="Hyperlink"/>
            <w:rFonts w:ascii="Arial" w:hAnsi="Arial" w:cs="Arial"/>
            <w:sz w:val="24"/>
            <w:szCs w:val="24"/>
          </w:rPr>
          <w:t>https://gov.wales/local-government-revenue-and-capital-settlement-2022-2023</w:t>
        </w:r>
      </w:hyperlink>
      <w:r w:rsidRPr="002C0FD1">
        <w:t xml:space="preserve"> </w:t>
      </w:r>
      <w:r w:rsidRPr="002C0FD1">
        <w:rPr>
          <w:rFonts w:ascii="Arial" w:hAnsi="Arial" w:cs="Arial"/>
          <w:sz w:val="24"/>
          <w:szCs w:val="24"/>
        </w:rPr>
        <w:t xml:space="preserve"> </w:t>
      </w:r>
    </w:p>
    <w:p w14:paraId="47A71FB9" w14:textId="77777777" w:rsidR="004E307B" w:rsidRPr="002C0FD1" w:rsidRDefault="004E307B" w:rsidP="00486FEA">
      <w:pPr>
        <w:autoSpaceDE w:val="0"/>
        <w:autoSpaceDN w:val="0"/>
        <w:adjustRightInd w:val="0"/>
        <w:rPr>
          <w:rFonts w:ascii="Arial" w:hAnsi="Arial" w:cs="Arial"/>
          <w:sz w:val="24"/>
          <w:szCs w:val="24"/>
        </w:rPr>
      </w:pPr>
    </w:p>
    <w:p w14:paraId="55BADAFC" w14:textId="1F69D5FA" w:rsidR="00486FEA" w:rsidRPr="002C0FD1" w:rsidRDefault="004E307B" w:rsidP="00486FEA">
      <w:pPr>
        <w:autoSpaceDE w:val="0"/>
        <w:autoSpaceDN w:val="0"/>
        <w:adjustRightInd w:val="0"/>
        <w:rPr>
          <w:rFonts w:ascii="Arial" w:hAnsi="Arial" w:cs="Arial"/>
          <w:sz w:val="24"/>
          <w:szCs w:val="24"/>
        </w:rPr>
      </w:pPr>
      <w:r w:rsidRPr="002C0FD1">
        <w:rPr>
          <w:rFonts w:ascii="Arial" w:hAnsi="Arial" w:cs="Arial"/>
          <w:sz w:val="24"/>
          <w:szCs w:val="24"/>
        </w:rPr>
        <w:t>G</w:t>
      </w:r>
      <w:r w:rsidR="00486FEA" w:rsidRPr="002C0FD1">
        <w:rPr>
          <w:rFonts w:ascii="Arial" w:hAnsi="Arial" w:cs="Arial"/>
          <w:sz w:val="24"/>
          <w:szCs w:val="24"/>
        </w:rPr>
        <w:t xml:space="preserve">eneral capital funding for </w:t>
      </w:r>
      <w:r w:rsidR="00A708E4" w:rsidRPr="002C0FD1">
        <w:rPr>
          <w:rFonts w:ascii="Arial" w:hAnsi="Arial" w:cs="Arial"/>
          <w:sz w:val="24"/>
          <w:szCs w:val="24"/>
        </w:rPr>
        <w:t>l</w:t>
      </w:r>
      <w:r w:rsidR="00136893" w:rsidRPr="002C0FD1">
        <w:rPr>
          <w:rFonts w:ascii="Arial" w:hAnsi="Arial" w:cs="Arial"/>
          <w:sz w:val="24"/>
          <w:szCs w:val="24"/>
        </w:rPr>
        <w:t xml:space="preserve">ocal </w:t>
      </w:r>
      <w:r w:rsidR="00A708E4" w:rsidRPr="002C0FD1">
        <w:rPr>
          <w:rFonts w:ascii="Arial" w:hAnsi="Arial" w:cs="Arial"/>
          <w:sz w:val="24"/>
          <w:szCs w:val="24"/>
        </w:rPr>
        <w:t>g</w:t>
      </w:r>
      <w:r w:rsidR="00136893" w:rsidRPr="002C0FD1">
        <w:rPr>
          <w:rFonts w:ascii="Arial" w:hAnsi="Arial" w:cs="Arial"/>
          <w:sz w:val="24"/>
          <w:szCs w:val="24"/>
        </w:rPr>
        <w:t xml:space="preserve">overnment for </w:t>
      </w:r>
      <w:r w:rsidR="00486FEA" w:rsidRPr="002C0FD1">
        <w:rPr>
          <w:rFonts w:ascii="Arial" w:hAnsi="Arial" w:cs="Arial"/>
          <w:sz w:val="24"/>
          <w:szCs w:val="24"/>
        </w:rPr>
        <w:t>2022-23 will be set at £150</w:t>
      </w:r>
      <w:r w:rsidR="007F490B" w:rsidRPr="002C0FD1">
        <w:rPr>
          <w:rFonts w:ascii="Arial" w:hAnsi="Arial" w:cs="Arial"/>
          <w:sz w:val="24"/>
          <w:szCs w:val="24"/>
        </w:rPr>
        <w:t>m</w:t>
      </w:r>
      <w:r w:rsidR="00556F69" w:rsidRPr="002C0FD1">
        <w:rPr>
          <w:rFonts w:ascii="Arial" w:hAnsi="Arial" w:cs="Arial"/>
          <w:sz w:val="24"/>
          <w:szCs w:val="24"/>
        </w:rPr>
        <w:t xml:space="preserve">. </w:t>
      </w:r>
      <w:r w:rsidR="00486FEA" w:rsidRPr="002C0FD1">
        <w:rPr>
          <w:rFonts w:ascii="Arial" w:hAnsi="Arial" w:cs="Arial"/>
          <w:sz w:val="24"/>
          <w:szCs w:val="24"/>
        </w:rPr>
        <w:t>This will increase to £200</w:t>
      </w:r>
      <w:r w:rsidR="007F490B" w:rsidRPr="002C0FD1">
        <w:rPr>
          <w:rFonts w:ascii="Arial" w:hAnsi="Arial" w:cs="Arial"/>
          <w:sz w:val="24"/>
          <w:szCs w:val="24"/>
        </w:rPr>
        <w:t xml:space="preserve">m </w:t>
      </w:r>
      <w:r w:rsidR="00486FEA" w:rsidRPr="002C0FD1">
        <w:rPr>
          <w:rFonts w:ascii="Arial" w:hAnsi="Arial" w:cs="Arial"/>
          <w:sz w:val="24"/>
          <w:szCs w:val="24"/>
        </w:rPr>
        <w:t>for the following two years, including £20</w:t>
      </w:r>
      <w:r w:rsidR="007F490B" w:rsidRPr="002C0FD1">
        <w:rPr>
          <w:rFonts w:ascii="Arial" w:hAnsi="Arial" w:cs="Arial"/>
          <w:sz w:val="24"/>
          <w:szCs w:val="24"/>
        </w:rPr>
        <w:t xml:space="preserve">m </w:t>
      </w:r>
      <w:r w:rsidR="00486FEA" w:rsidRPr="002C0FD1">
        <w:rPr>
          <w:rFonts w:ascii="Arial" w:hAnsi="Arial" w:cs="Arial"/>
          <w:sz w:val="24"/>
          <w:szCs w:val="24"/>
        </w:rPr>
        <w:t xml:space="preserve">in each year to enable </w:t>
      </w:r>
      <w:r w:rsidR="00A708E4" w:rsidRPr="002C0FD1">
        <w:rPr>
          <w:rFonts w:ascii="Arial" w:hAnsi="Arial" w:cs="Arial"/>
          <w:sz w:val="24"/>
          <w:szCs w:val="24"/>
        </w:rPr>
        <w:t>a</w:t>
      </w:r>
      <w:r w:rsidR="00486FEA" w:rsidRPr="002C0FD1">
        <w:rPr>
          <w:rFonts w:ascii="Arial" w:hAnsi="Arial" w:cs="Arial"/>
          <w:sz w:val="24"/>
          <w:szCs w:val="24"/>
        </w:rPr>
        <w:t>uthorities to respond to our joint priority of decarbonisation.</w:t>
      </w:r>
    </w:p>
    <w:p w14:paraId="4A5CE5AC" w14:textId="12802139" w:rsidR="00A432B6" w:rsidRPr="002C0FD1" w:rsidRDefault="00A432B6" w:rsidP="00B60BFF">
      <w:pPr>
        <w:rPr>
          <w:rFonts w:ascii="Arial" w:hAnsi="Arial" w:cs="Arial"/>
          <w:sz w:val="24"/>
          <w:szCs w:val="24"/>
        </w:rPr>
      </w:pPr>
    </w:p>
    <w:p w14:paraId="1A196FC5" w14:textId="0136484F" w:rsidR="00154A32" w:rsidRPr="00E44EA8" w:rsidRDefault="00154A32" w:rsidP="00806E47">
      <w:pPr>
        <w:rPr>
          <w:rFonts w:ascii="Arial" w:hAnsi="Arial" w:cs="Arial"/>
          <w:sz w:val="24"/>
          <w:szCs w:val="24"/>
        </w:rPr>
      </w:pPr>
      <w:r w:rsidRPr="002C0FD1">
        <w:rPr>
          <w:rFonts w:ascii="Arial" w:hAnsi="Arial" w:cs="Arial"/>
          <w:sz w:val="24"/>
          <w:szCs w:val="24"/>
        </w:rPr>
        <w:t>The setting of budgets, and in turn council tax, is the responsibility of each local authority</w:t>
      </w:r>
      <w:r w:rsidR="00556F69" w:rsidRPr="002C0FD1">
        <w:rPr>
          <w:rFonts w:ascii="Arial" w:hAnsi="Arial" w:cs="Arial"/>
          <w:sz w:val="24"/>
          <w:szCs w:val="24"/>
        </w:rPr>
        <w:t xml:space="preserve">.  </w:t>
      </w:r>
      <w:r w:rsidR="00E44EA8" w:rsidRPr="002C0FD1">
        <w:rPr>
          <w:rFonts w:ascii="Arial" w:hAnsi="Arial" w:cs="Arial"/>
          <w:sz w:val="24"/>
          <w:szCs w:val="24"/>
        </w:rPr>
        <w:t>They</w:t>
      </w:r>
      <w:r w:rsidRPr="002C0FD1">
        <w:rPr>
          <w:rFonts w:ascii="Arial" w:hAnsi="Arial" w:cs="Arial"/>
          <w:sz w:val="24"/>
          <w:szCs w:val="24"/>
        </w:rPr>
        <w:t xml:space="preserve"> will need to take account of the full range of funding</w:t>
      </w:r>
      <w:r w:rsidR="009A0069" w:rsidRPr="002C0FD1">
        <w:rPr>
          <w:rFonts w:ascii="Arial" w:hAnsi="Arial" w:cs="Arial"/>
          <w:sz w:val="24"/>
          <w:szCs w:val="24"/>
        </w:rPr>
        <w:t xml:space="preserve"> sources</w:t>
      </w:r>
      <w:r w:rsidRPr="002C0FD1">
        <w:rPr>
          <w:rFonts w:ascii="Arial" w:hAnsi="Arial" w:cs="Arial"/>
          <w:sz w:val="24"/>
          <w:szCs w:val="24"/>
        </w:rPr>
        <w:t xml:space="preserve"> available to them, as well as the pressures they face, in setting their budgets for the coming year.</w:t>
      </w:r>
    </w:p>
    <w:p w14:paraId="5FC045FD" w14:textId="77777777" w:rsidR="00F4068B" w:rsidRPr="00046630" w:rsidRDefault="00F4068B" w:rsidP="00806E47">
      <w:pPr>
        <w:rPr>
          <w:rFonts w:ascii="Arial" w:hAnsi="Arial" w:cs="Arial"/>
          <w:sz w:val="24"/>
          <w:szCs w:val="24"/>
          <w:highlight w:val="lightGray"/>
        </w:rPr>
      </w:pPr>
    </w:p>
    <w:p w14:paraId="12F5EAB8" w14:textId="5820E364" w:rsidR="00154A32" w:rsidRPr="00A72703" w:rsidRDefault="006C276B" w:rsidP="00806E47">
      <w:pPr>
        <w:rPr>
          <w:rFonts w:ascii="Arial" w:hAnsi="Arial" w:cs="Arial"/>
          <w:sz w:val="24"/>
          <w:szCs w:val="24"/>
        </w:rPr>
        <w:sectPr w:rsidR="00154A32" w:rsidRPr="00A72703" w:rsidSect="006353A0">
          <w:headerReference w:type="first" r:id="rId13"/>
          <w:pgSz w:w="11906" w:h="16838" w:code="9"/>
          <w:pgMar w:top="1440" w:right="709" w:bottom="709" w:left="1418" w:header="720" w:footer="510" w:gutter="0"/>
          <w:cols w:space="720"/>
          <w:titlePg/>
        </w:sectPr>
      </w:pPr>
      <w:r w:rsidRPr="006C276B">
        <w:rPr>
          <w:rFonts w:ascii="Arial" w:hAnsi="Arial" w:cs="Arial"/>
          <w:sz w:val="24"/>
          <w:szCs w:val="24"/>
        </w:rPr>
        <w:t>The motion for the Senedd to approve the Local Government Finance Report (No.1) for 202</w:t>
      </w:r>
      <w:r>
        <w:rPr>
          <w:rFonts w:ascii="Arial" w:hAnsi="Arial" w:cs="Arial"/>
          <w:sz w:val="24"/>
          <w:szCs w:val="24"/>
        </w:rPr>
        <w:t>2</w:t>
      </w:r>
      <w:r w:rsidRPr="006C276B">
        <w:rPr>
          <w:rFonts w:ascii="Arial" w:hAnsi="Arial" w:cs="Arial"/>
          <w:sz w:val="24"/>
          <w:szCs w:val="24"/>
        </w:rPr>
        <w:t>-2</w:t>
      </w:r>
      <w:r>
        <w:rPr>
          <w:rFonts w:ascii="Arial" w:hAnsi="Arial" w:cs="Arial"/>
          <w:sz w:val="24"/>
          <w:szCs w:val="24"/>
        </w:rPr>
        <w:t>3</w:t>
      </w:r>
      <w:r w:rsidRPr="006C276B">
        <w:rPr>
          <w:rFonts w:ascii="Arial" w:hAnsi="Arial" w:cs="Arial"/>
          <w:sz w:val="24"/>
          <w:szCs w:val="24"/>
        </w:rPr>
        <w:t xml:space="preserve"> is scheduled for debate on </w:t>
      </w:r>
      <w:r>
        <w:rPr>
          <w:rFonts w:ascii="Arial" w:hAnsi="Arial" w:cs="Arial"/>
          <w:sz w:val="24"/>
          <w:szCs w:val="24"/>
        </w:rPr>
        <w:t>8</w:t>
      </w:r>
      <w:r w:rsidRPr="006C276B">
        <w:rPr>
          <w:rFonts w:ascii="Arial" w:hAnsi="Arial" w:cs="Arial"/>
          <w:sz w:val="24"/>
          <w:szCs w:val="24"/>
        </w:rPr>
        <w:t xml:space="preserve"> March 202</w:t>
      </w:r>
      <w:r>
        <w:rPr>
          <w:rFonts w:ascii="Arial" w:hAnsi="Arial" w:cs="Arial"/>
          <w:sz w:val="24"/>
          <w:szCs w:val="24"/>
        </w:rPr>
        <w:t>2</w:t>
      </w:r>
      <w:r w:rsidRPr="006C276B">
        <w:rPr>
          <w:rFonts w:ascii="Arial" w:hAnsi="Arial" w:cs="Arial"/>
          <w:sz w:val="24"/>
          <w:szCs w:val="24"/>
        </w:rPr>
        <w:t>.</w:t>
      </w:r>
    </w:p>
    <w:p w14:paraId="6FAA88F3" w14:textId="77777777" w:rsidR="00806E47" w:rsidRPr="00810477" w:rsidRDefault="00BE5BE5" w:rsidP="00BE5BE5">
      <w:pPr>
        <w:pStyle w:val="Heading1"/>
      </w:pPr>
      <w:r w:rsidRPr="00810477">
        <w:lastRenderedPageBreak/>
        <w:t>Summary Table</w:t>
      </w:r>
    </w:p>
    <w:p w14:paraId="5B49DF61" w14:textId="77777777" w:rsidR="00806E47" w:rsidRPr="00810477" w:rsidRDefault="00806E47" w:rsidP="00BE5BE5">
      <w:pPr>
        <w:pStyle w:val="Heading1"/>
      </w:pPr>
    </w:p>
    <w:p w14:paraId="7BA6FF38" w14:textId="57528E5E" w:rsidR="00154A32" w:rsidRPr="00810477" w:rsidRDefault="00154A32" w:rsidP="00201AFD">
      <w:pPr>
        <w:pStyle w:val="Heading1"/>
      </w:pPr>
      <w:r w:rsidRPr="00810477">
        <w:t>202</w:t>
      </w:r>
      <w:r w:rsidR="00810477" w:rsidRPr="00810477">
        <w:t>2</w:t>
      </w:r>
      <w:r w:rsidRPr="00810477">
        <w:t>-2</w:t>
      </w:r>
      <w:r w:rsidR="00810477" w:rsidRPr="00810477">
        <w:t>3</w:t>
      </w:r>
      <w:r w:rsidR="00A708E4">
        <w:t xml:space="preserve"> </w:t>
      </w:r>
      <w:r w:rsidR="003E72B3">
        <w:t>final</w:t>
      </w:r>
      <w:r w:rsidRPr="00810477">
        <w:t xml:space="preserve"> </w:t>
      </w:r>
      <w:r w:rsidR="00A708E4">
        <w:t>S</w:t>
      </w:r>
      <w:r w:rsidRPr="00810477">
        <w:t>ettlement – comparison of 20</w:t>
      </w:r>
      <w:r w:rsidR="00BE5BE5" w:rsidRPr="00810477">
        <w:t>2</w:t>
      </w:r>
      <w:r w:rsidR="00810477" w:rsidRPr="00810477">
        <w:t>1</w:t>
      </w:r>
      <w:r w:rsidRPr="00810477">
        <w:t>-2</w:t>
      </w:r>
      <w:r w:rsidR="00810477" w:rsidRPr="00810477">
        <w:t>2</w:t>
      </w:r>
      <w:r w:rsidRPr="00810477">
        <w:t xml:space="preserve"> AEF (adjusted for transfers) and 202</w:t>
      </w:r>
      <w:r w:rsidR="00810477" w:rsidRPr="00810477">
        <w:t>2</w:t>
      </w:r>
      <w:r w:rsidRPr="00810477">
        <w:t>-2</w:t>
      </w:r>
      <w:r w:rsidR="00810477" w:rsidRPr="00810477">
        <w:t>3</w:t>
      </w:r>
      <w:r w:rsidRPr="00810477">
        <w:t xml:space="preserve"> </w:t>
      </w:r>
      <w:r w:rsidR="003E72B3">
        <w:t>final</w:t>
      </w:r>
      <w:r w:rsidRPr="00810477">
        <w:t xml:space="preserve"> AEF, and distribution of the 202</w:t>
      </w:r>
      <w:r w:rsidR="008357D7">
        <w:t>2</w:t>
      </w:r>
      <w:r w:rsidRPr="00810477">
        <w:t>-2</w:t>
      </w:r>
      <w:r w:rsidR="008357D7">
        <w:t>3</w:t>
      </w:r>
      <w:r w:rsidRPr="00810477">
        <w:t xml:space="preserve"> Council Tax Reduction Schemes funding (distributed within AEF)</w:t>
      </w:r>
      <w:r w:rsidR="00BE5BE5" w:rsidRPr="00810477">
        <w:t xml:space="preserve"> (£000s)</w:t>
      </w:r>
    </w:p>
    <w:p w14:paraId="3639FD3A" w14:textId="77777777" w:rsidR="00BE5BE5" w:rsidRPr="00810477" w:rsidRDefault="00BE5BE5" w:rsidP="00154A32">
      <w:pPr>
        <w:rPr>
          <w:rFonts w:ascii="Arial" w:hAnsi="Arial" w:cs="Arial"/>
          <w:b/>
          <w:sz w:val="24"/>
          <w:szCs w:val="24"/>
        </w:rPr>
      </w:pPr>
    </w:p>
    <w:tbl>
      <w:tblPr>
        <w:tblW w:w="11482" w:type="dxa"/>
        <w:tblLayout w:type="fixed"/>
        <w:tblCellMar>
          <w:left w:w="30" w:type="dxa"/>
          <w:right w:w="30" w:type="dxa"/>
        </w:tblCellMar>
        <w:tblLook w:val="0000" w:firstRow="0" w:lastRow="0" w:firstColumn="0" w:lastColumn="0" w:noHBand="0" w:noVBand="0"/>
        <w:tblDescription w:val="Summary Table: 2021-22 provisional settlement – comparison of 2020-21 AEF (adjusted for transfers) and 2021-22 provisional AEF, and distribution of the 2020-21 Council Tax Reduction Schemes funding (distributed within AEF) (£000s)"/>
      </w:tblPr>
      <w:tblGrid>
        <w:gridCol w:w="2455"/>
        <w:gridCol w:w="1805"/>
        <w:gridCol w:w="1805"/>
        <w:gridCol w:w="1806"/>
        <w:gridCol w:w="1805"/>
        <w:gridCol w:w="1806"/>
      </w:tblGrid>
      <w:tr w:rsidR="00BE5BE5" w:rsidRPr="00810477" w14:paraId="1BF09367" w14:textId="77777777" w:rsidTr="00BE5BE5">
        <w:trPr>
          <w:trHeight w:val="678"/>
          <w:tblHeader/>
        </w:trPr>
        <w:tc>
          <w:tcPr>
            <w:tcW w:w="2455" w:type="dxa"/>
            <w:tcBorders>
              <w:top w:val="single" w:sz="4" w:space="0" w:color="auto"/>
              <w:bottom w:val="single" w:sz="4" w:space="0" w:color="auto"/>
            </w:tcBorders>
            <w:shd w:val="solid" w:color="FFFFFF" w:fill="auto"/>
            <w:vAlign w:val="center"/>
          </w:tcPr>
          <w:p w14:paraId="5730A896" w14:textId="77777777" w:rsidR="00BE5BE5" w:rsidRPr="00810477" w:rsidRDefault="00BE5BE5" w:rsidP="009439DA">
            <w:pPr>
              <w:autoSpaceDE w:val="0"/>
              <w:autoSpaceDN w:val="0"/>
              <w:adjustRightInd w:val="0"/>
              <w:rPr>
                <w:rFonts w:ascii="Arial" w:hAnsi="Arial" w:cs="Arial"/>
                <w:b/>
                <w:sz w:val="20"/>
                <w:lang w:eastAsia="en-GB"/>
              </w:rPr>
            </w:pPr>
          </w:p>
          <w:p w14:paraId="00C06A6C" w14:textId="0AAD5F02" w:rsidR="00BE5BE5" w:rsidRPr="00810477" w:rsidRDefault="00013B82" w:rsidP="009439DA">
            <w:pPr>
              <w:autoSpaceDE w:val="0"/>
              <w:autoSpaceDN w:val="0"/>
              <w:adjustRightInd w:val="0"/>
              <w:rPr>
                <w:rFonts w:ascii="Arial" w:hAnsi="Arial" w:cs="Arial"/>
                <w:b/>
                <w:sz w:val="20"/>
                <w:lang w:eastAsia="en-GB"/>
              </w:rPr>
            </w:pPr>
            <w:r>
              <w:rPr>
                <w:rFonts w:ascii="Arial" w:hAnsi="Arial" w:cs="Arial"/>
                <w:b/>
                <w:sz w:val="20"/>
                <w:lang w:eastAsia="en-GB"/>
              </w:rPr>
              <w:t>A</w:t>
            </w:r>
            <w:r w:rsidR="00BE5BE5" w:rsidRPr="00810477">
              <w:rPr>
                <w:rFonts w:ascii="Arial" w:hAnsi="Arial" w:cs="Arial"/>
                <w:b/>
                <w:sz w:val="20"/>
                <w:lang w:eastAsia="en-GB"/>
              </w:rPr>
              <w:t>uthority</w:t>
            </w:r>
          </w:p>
        </w:tc>
        <w:tc>
          <w:tcPr>
            <w:tcW w:w="1805" w:type="dxa"/>
            <w:tcBorders>
              <w:top w:val="single" w:sz="4" w:space="0" w:color="auto"/>
              <w:bottom w:val="single" w:sz="4" w:space="0" w:color="auto"/>
            </w:tcBorders>
            <w:shd w:val="solid" w:color="FFFFFF" w:fill="auto"/>
            <w:vAlign w:val="center"/>
          </w:tcPr>
          <w:p w14:paraId="7928900E" w14:textId="18CFB1C4" w:rsidR="00BE5BE5" w:rsidRPr="00810477" w:rsidRDefault="00BE5BE5" w:rsidP="009439DA">
            <w:pPr>
              <w:autoSpaceDE w:val="0"/>
              <w:autoSpaceDN w:val="0"/>
              <w:adjustRightInd w:val="0"/>
              <w:jc w:val="center"/>
              <w:rPr>
                <w:rFonts w:ascii="Arial" w:hAnsi="Arial" w:cs="Arial"/>
                <w:b/>
                <w:sz w:val="20"/>
                <w:lang w:eastAsia="en-GB"/>
              </w:rPr>
            </w:pPr>
            <w:r w:rsidRPr="00810477">
              <w:rPr>
                <w:rFonts w:ascii="Arial" w:hAnsi="Arial" w:cs="Arial"/>
                <w:b/>
                <w:sz w:val="20"/>
                <w:lang w:eastAsia="en-GB"/>
              </w:rPr>
              <w:t>202</w:t>
            </w:r>
            <w:r w:rsidR="00810477" w:rsidRPr="00810477">
              <w:rPr>
                <w:rFonts w:ascii="Arial" w:hAnsi="Arial" w:cs="Arial"/>
                <w:b/>
                <w:sz w:val="20"/>
                <w:lang w:eastAsia="en-GB"/>
              </w:rPr>
              <w:t>1</w:t>
            </w:r>
            <w:r w:rsidRPr="00810477">
              <w:rPr>
                <w:rFonts w:ascii="Arial" w:hAnsi="Arial" w:cs="Arial"/>
                <w:b/>
                <w:sz w:val="20"/>
                <w:lang w:eastAsia="en-GB"/>
              </w:rPr>
              <w:t>-2</w:t>
            </w:r>
            <w:r w:rsidR="00810477" w:rsidRPr="00810477">
              <w:rPr>
                <w:rFonts w:ascii="Arial" w:hAnsi="Arial" w:cs="Arial"/>
                <w:b/>
                <w:sz w:val="20"/>
                <w:lang w:eastAsia="en-GB"/>
              </w:rPr>
              <w:t>2</w:t>
            </w:r>
          </w:p>
          <w:p w14:paraId="242B62FF" w14:textId="0B5B2C69" w:rsidR="00BE5BE5" w:rsidRPr="00810477" w:rsidRDefault="00BE5BE5" w:rsidP="00BE5BE5">
            <w:pPr>
              <w:autoSpaceDE w:val="0"/>
              <w:autoSpaceDN w:val="0"/>
              <w:adjustRightInd w:val="0"/>
              <w:jc w:val="center"/>
              <w:rPr>
                <w:rFonts w:ascii="Arial" w:hAnsi="Arial" w:cs="Arial"/>
                <w:b/>
                <w:sz w:val="20"/>
                <w:lang w:eastAsia="en-GB"/>
              </w:rPr>
            </w:pPr>
            <w:r w:rsidRPr="00810477">
              <w:rPr>
                <w:rFonts w:ascii="Arial" w:hAnsi="Arial" w:cs="Arial"/>
                <w:b/>
                <w:sz w:val="20"/>
                <w:lang w:eastAsia="en-GB"/>
              </w:rPr>
              <w:t>adjusted AEF</w:t>
            </w:r>
            <w:r w:rsidRPr="00810477">
              <w:rPr>
                <w:rFonts w:ascii="Arial" w:hAnsi="Arial" w:cs="Arial"/>
                <w:b/>
                <w:sz w:val="20"/>
                <w:vertAlign w:val="superscript"/>
                <w:lang w:eastAsia="en-GB"/>
              </w:rPr>
              <w:t>1</w:t>
            </w:r>
          </w:p>
        </w:tc>
        <w:tc>
          <w:tcPr>
            <w:tcW w:w="1805" w:type="dxa"/>
            <w:tcBorders>
              <w:top w:val="single" w:sz="4" w:space="0" w:color="auto"/>
              <w:bottom w:val="single" w:sz="4" w:space="0" w:color="auto"/>
            </w:tcBorders>
            <w:shd w:val="solid" w:color="FFFFFF" w:fill="auto"/>
            <w:vAlign w:val="center"/>
          </w:tcPr>
          <w:p w14:paraId="33E7AF52" w14:textId="1D7C8F43" w:rsidR="00BE5BE5" w:rsidRPr="00810477" w:rsidRDefault="00BE5BE5" w:rsidP="000964AF">
            <w:pPr>
              <w:autoSpaceDE w:val="0"/>
              <w:autoSpaceDN w:val="0"/>
              <w:adjustRightInd w:val="0"/>
              <w:jc w:val="center"/>
              <w:rPr>
                <w:rFonts w:ascii="Arial" w:hAnsi="Arial" w:cs="Arial"/>
                <w:b/>
                <w:sz w:val="20"/>
                <w:lang w:eastAsia="en-GB"/>
              </w:rPr>
            </w:pPr>
            <w:r w:rsidRPr="00810477">
              <w:rPr>
                <w:rFonts w:ascii="Arial" w:hAnsi="Arial" w:cs="Arial"/>
                <w:b/>
                <w:sz w:val="20"/>
                <w:lang w:eastAsia="en-GB"/>
              </w:rPr>
              <w:t>202</w:t>
            </w:r>
            <w:r w:rsidR="00810477" w:rsidRPr="00810477">
              <w:rPr>
                <w:rFonts w:ascii="Arial" w:hAnsi="Arial" w:cs="Arial"/>
                <w:b/>
                <w:sz w:val="20"/>
                <w:lang w:eastAsia="en-GB"/>
              </w:rPr>
              <w:t>2</w:t>
            </w:r>
            <w:r w:rsidRPr="00810477">
              <w:rPr>
                <w:rFonts w:ascii="Arial" w:hAnsi="Arial" w:cs="Arial"/>
                <w:b/>
                <w:sz w:val="20"/>
                <w:lang w:eastAsia="en-GB"/>
              </w:rPr>
              <w:t>-2</w:t>
            </w:r>
            <w:r w:rsidR="00810477" w:rsidRPr="00810477">
              <w:rPr>
                <w:rFonts w:ascii="Arial" w:hAnsi="Arial" w:cs="Arial"/>
                <w:b/>
                <w:sz w:val="20"/>
                <w:lang w:eastAsia="en-GB"/>
              </w:rPr>
              <w:t>3</w:t>
            </w:r>
            <w:r w:rsidRPr="00810477">
              <w:rPr>
                <w:rFonts w:ascii="Arial" w:hAnsi="Arial" w:cs="Arial"/>
                <w:b/>
                <w:sz w:val="20"/>
                <w:lang w:eastAsia="en-GB"/>
              </w:rPr>
              <w:t xml:space="preserve"> </w:t>
            </w:r>
            <w:r w:rsidR="000964AF">
              <w:rPr>
                <w:rFonts w:ascii="Arial" w:hAnsi="Arial" w:cs="Arial"/>
                <w:b/>
                <w:sz w:val="20"/>
                <w:lang w:eastAsia="en-GB"/>
              </w:rPr>
              <w:t>final</w:t>
            </w:r>
            <w:r w:rsidRPr="00810477">
              <w:rPr>
                <w:rFonts w:ascii="Arial" w:hAnsi="Arial" w:cs="Arial"/>
                <w:b/>
                <w:sz w:val="20"/>
                <w:lang w:eastAsia="en-GB"/>
              </w:rPr>
              <w:t xml:space="preserve"> AEF</w:t>
            </w:r>
          </w:p>
        </w:tc>
        <w:tc>
          <w:tcPr>
            <w:tcW w:w="1806" w:type="dxa"/>
            <w:tcBorders>
              <w:top w:val="single" w:sz="4" w:space="0" w:color="auto"/>
              <w:bottom w:val="single" w:sz="4" w:space="0" w:color="auto"/>
            </w:tcBorders>
            <w:shd w:val="solid" w:color="FFFFFF" w:fill="auto"/>
            <w:vAlign w:val="center"/>
          </w:tcPr>
          <w:p w14:paraId="0AA5A668" w14:textId="0E9435EE" w:rsidR="00BE5BE5" w:rsidRPr="00810477" w:rsidRDefault="00BE5BE5" w:rsidP="00810477">
            <w:pPr>
              <w:autoSpaceDE w:val="0"/>
              <w:autoSpaceDN w:val="0"/>
              <w:adjustRightInd w:val="0"/>
              <w:jc w:val="center"/>
              <w:rPr>
                <w:rFonts w:ascii="Arial" w:hAnsi="Arial" w:cs="Arial"/>
                <w:b/>
                <w:sz w:val="20"/>
                <w:lang w:eastAsia="en-GB"/>
              </w:rPr>
            </w:pPr>
            <w:r w:rsidRPr="00810477">
              <w:rPr>
                <w:rFonts w:ascii="Arial" w:hAnsi="Arial" w:cs="Arial"/>
                <w:b/>
                <w:sz w:val="20"/>
                <w:lang w:eastAsia="en-GB"/>
              </w:rPr>
              <w:t>% change on adjusted 202</w:t>
            </w:r>
            <w:r w:rsidR="00810477" w:rsidRPr="00810477">
              <w:rPr>
                <w:rFonts w:ascii="Arial" w:hAnsi="Arial" w:cs="Arial"/>
                <w:b/>
                <w:sz w:val="20"/>
                <w:lang w:eastAsia="en-GB"/>
              </w:rPr>
              <w:t>1-22</w:t>
            </w:r>
            <w:r w:rsidRPr="00810477">
              <w:rPr>
                <w:rFonts w:ascii="Arial" w:hAnsi="Arial" w:cs="Arial"/>
                <w:b/>
                <w:sz w:val="20"/>
                <w:lang w:eastAsia="en-GB"/>
              </w:rPr>
              <w:t xml:space="preserve"> AEF</w:t>
            </w:r>
          </w:p>
        </w:tc>
        <w:tc>
          <w:tcPr>
            <w:tcW w:w="1805" w:type="dxa"/>
            <w:tcBorders>
              <w:top w:val="single" w:sz="4" w:space="0" w:color="auto"/>
              <w:bottom w:val="single" w:sz="4" w:space="0" w:color="auto"/>
            </w:tcBorders>
            <w:shd w:val="solid" w:color="FFFFFF" w:fill="auto"/>
            <w:vAlign w:val="center"/>
          </w:tcPr>
          <w:p w14:paraId="2B7CB1DF" w14:textId="77777777" w:rsidR="00BE5BE5" w:rsidRPr="00810477" w:rsidRDefault="00BE5BE5" w:rsidP="009439DA">
            <w:pPr>
              <w:autoSpaceDE w:val="0"/>
              <w:autoSpaceDN w:val="0"/>
              <w:adjustRightInd w:val="0"/>
              <w:jc w:val="center"/>
              <w:rPr>
                <w:rFonts w:ascii="Arial" w:hAnsi="Arial" w:cs="Arial"/>
                <w:b/>
                <w:sz w:val="20"/>
                <w:lang w:eastAsia="en-GB"/>
              </w:rPr>
            </w:pPr>
            <w:r w:rsidRPr="00810477">
              <w:rPr>
                <w:rFonts w:ascii="Arial" w:hAnsi="Arial" w:cs="Arial"/>
                <w:b/>
                <w:sz w:val="20"/>
                <w:lang w:eastAsia="en-GB"/>
              </w:rPr>
              <w:t>Rank</w:t>
            </w:r>
          </w:p>
        </w:tc>
        <w:tc>
          <w:tcPr>
            <w:tcW w:w="1806" w:type="dxa"/>
            <w:tcBorders>
              <w:top w:val="single" w:sz="4" w:space="0" w:color="auto"/>
              <w:bottom w:val="single" w:sz="4" w:space="0" w:color="auto"/>
            </w:tcBorders>
            <w:shd w:val="solid" w:color="FFFFFF" w:fill="auto"/>
            <w:vAlign w:val="center"/>
          </w:tcPr>
          <w:p w14:paraId="18555026" w14:textId="77777777" w:rsidR="00BE5BE5" w:rsidRPr="00810477" w:rsidRDefault="00BE5BE5" w:rsidP="009439DA">
            <w:pPr>
              <w:autoSpaceDE w:val="0"/>
              <w:autoSpaceDN w:val="0"/>
              <w:adjustRightInd w:val="0"/>
              <w:jc w:val="center"/>
              <w:rPr>
                <w:rFonts w:ascii="Arial" w:hAnsi="Arial" w:cs="Arial"/>
                <w:b/>
                <w:sz w:val="20"/>
                <w:lang w:eastAsia="en-GB"/>
              </w:rPr>
            </w:pPr>
            <w:r w:rsidRPr="00810477">
              <w:rPr>
                <w:rFonts w:ascii="Arial" w:hAnsi="Arial" w:cs="Arial"/>
                <w:b/>
                <w:sz w:val="20"/>
                <w:lang w:eastAsia="en-GB"/>
              </w:rPr>
              <w:t>Council Tax Reduction Schemes (within AEF)</w:t>
            </w:r>
          </w:p>
        </w:tc>
      </w:tr>
      <w:tr w:rsidR="00EF7564" w:rsidRPr="00810477" w14:paraId="73BB2EE0" w14:textId="77777777" w:rsidTr="00BE5BE5">
        <w:trPr>
          <w:trHeight w:val="411"/>
        </w:trPr>
        <w:tc>
          <w:tcPr>
            <w:tcW w:w="2455" w:type="dxa"/>
            <w:shd w:val="solid" w:color="FFFFFF" w:fill="auto"/>
            <w:vAlign w:val="bottom"/>
          </w:tcPr>
          <w:p w14:paraId="7753A8D6" w14:textId="77777777" w:rsidR="00EF7564" w:rsidRPr="00810477" w:rsidRDefault="00EF7564" w:rsidP="00EF7564">
            <w:pPr>
              <w:autoSpaceDE w:val="0"/>
              <w:autoSpaceDN w:val="0"/>
              <w:adjustRightInd w:val="0"/>
              <w:rPr>
                <w:rFonts w:ascii="Arial" w:hAnsi="Arial" w:cs="Arial"/>
                <w:sz w:val="20"/>
                <w:lang w:eastAsia="en-GB"/>
              </w:rPr>
            </w:pPr>
            <w:r w:rsidRPr="00810477">
              <w:rPr>
                <w:rFonts w:ascii="Arial" w:hAnsi="Arial" w:cs="Arial"/>
                <w:sz w:val="20"/>
                <w:lang w:eastAsia="en-GB"/>
              </w:rPr>
              <w:t>Isle of Anglesey</w:t>
            </w:r>
          </w:p>
        </w:tc>
        <w:tc>
          <w:tcPr>
            <w:tcW w:w="1805" w:type="dxa"/>
            <w:shd w:val="solid" w:color="FFFFFF" w:fill="auto"/>
            <w:vAlign w:val="bottom"/>
          </w:tcPr>
          <w:p w14:paraId="75ADB797" w14:textId="17FC3B69" w:rsidR="00EF7564" w:rsidRPr="00810477" w:rsidRDefault="00EF7564" w:rsidP="00EF7564">
            <w:pPr>
              <w:autoSpaceDE w:val="0"/>
              <w:autoSpaceDN w:val="0"/>
              <w:adjustRightInd w:val="0"/>
              <w:jc w:val="right"/>
              <w:rPr>
                <w:rFonts w:ascii="Arial" w:hAnsi="Arial" w:cs="Arial"/>
                <w:sz w:val="20"/>
                <w:lang w:eastAsia="en-GB"/>
              </w:rPr>
            </w:pPr>
            <w:r>
              <w:rPr>
                <w:rFonts w:ascii="Arial" w:hAnsi="Arial" w:cs="Arial"/>
                <w:color w:val="000000"/>
                <w:sz w:val="20"/>
              </w:rPr>
              <w:t>104,872</w:t>
            </w:r>
          </w:p>
        </w:tc>
        <w:tc>
          <w:tcPr>
            <w:tcW w:w="1805" w:type="dxa"/>
            <w:shd w:val="solid" w:color="FFFFFF" w:fill="auto"/>
            <w:vAlign w:val="bottom"/>
          </w:tcPr>
          <w:p w14:paraId="46A63AB3" w14:textId="499865B6" w:rsidR="00EF7564" w:rsidRPr="00810477" w:rsidRDefault="00EF7564" w:rsidP="00EF7564">
            <w:pPr>
              <w:autoSpaceDE w:val="0"/>
              <w:autoSpaceDN w:val="0"/>
              <w:adjustRightInd w:val="0"/>
              <w:jc w:val="right"/>
              <w:rPr>
                <w:rFonts w:ascii="Arial" w:hAnsi="Arial" w:cs="Arial"/>
                <w:sz w:val="20"/>
                <w:lang w:eastAsia="en-GB"/>
              </w:rPr>
            </w:pPr>
            <w:r>
              <w:rPr>
                <w:rFonts w:ascii="Arial" w:hAnsi="Arial" w:cs="Arial"/>
                <w:color w:val="000000"/>
                <w:sz w:val="20"/>
              </w:rPr>
              <w:t>114,551</w:t>
            </w:r>
          </w:p>
        </w:tc>
        <w:tc>
          <w:tcPr>
            <w:tcW w:w="1806" w:type="dxa"/>
            <w:shd w:val="solid" w:color="FFFFFF" w:fill="auto"/>
            <w:vAlign w:val="bottom"/>
          </w:tcPr>
          <w:p w14:paraId="544CB29F" w14:textId="050876AD" w:rsidR="00EF7564" w:rsidRPr="00810477" w:rsidRDefault="00EF7564" w:rsidP="00EF7564">
            <w:pPr>
              <w:autoSpaceDE w:val="0"/>
              <w:autoSpaceDN w:val="0"/>
              <w:adjustRightInd w:val="0"/>
              <w:jc w:val="right"/>
              <w:rPr>
                <w:rFonts w:ascii="Arial" w:hAnsi="Arial" w:cs="Arial"/>
                <w:sz w:val="20"/>
                <w:lang w:eastAsia="en-GB"/>
              </w:rPr>
            </w:pPr>
            <w:r>
              <w:rPr>
                <w:rFonts w:ascii="Arial" w:hAnsi="Arial" w:cs="Arial"/>
                <w:color w:val="000000"/>
                <w:sz w:val="20"/>
              </w:rPr>
              <w:t>9.2%</w:t>
            </w:r>
          </w:p>
        </w:tc>
        <w:tc>
          <w:tcPr>
            <w:tcW w:w="1805" w:type="dxa"/>
            <w:shd w:val="solid" w:color="FFFFFF" w:fill="auto"/>
            <w:vAlign w:val="bottom"/>
          </w:tcPr>
          <w:p w14:paraId="0664C505" w14:textId="51A25BFA" w:rsidR="00EF7564" w:rsidRPr="00810477" w:rsidRDefault="00EF7564" w:rsidP="00EF7564">
            <w:pPr>
              <w:autoSpaceDE w:val="0"/>
              <w:autoSpaceDN w:val="0"/>
              <w:adjustRightInd w:val="0"/>
              <w:jc w:val="right"/>
              <w:rPr>
                <w:rFonts w:ascii="Arial" w:hAnsi="Arial" w:cs="Arial"/>
                <w:sz w:val="20"/>
                <w:lang w:eastAsia="en-GB"/>
              </w:rPr>
            </w:pPr>
            <w:r>
              <w:rPr>
                <w:rFonts w:ascii="Arial" w:hAnsi="Arial" w:cs="Arial"/>
                <w:color w:val="000000"/>
                <w:sz w:val="20"/>
              </w:rPr>
              <w:t>12</w:t>
            </w:r>
          </w:p>
        </w:tc>
        <w:tc>
          <w:tcPr>
            <w:tcW w:w="1806" w:type="dxa"/>
            <w:shd w:val="solid" w:color="FFFFFF" w:fill="auto"/>
            <w:vAlign w:val="bottom"/>
          </w:tcPr>
          <w:p w14:paraId="518B9AB7" w14:textId="6F0C3D7C" w:rsidR="00EF7564" w:rsidRPr="00810477" w:rsidRDefault="00EF7564" w:rsidP="00EF7564">
            <w:pPr>
              <w:autoSpaceDE w:val="0"/>
              <w:autoSpaceDN w:val="0"/>
              <w:adjustRightInd w:val="0"/>
              <w:jc w:val="right"/>
              <w:rPr>
                <w:rFonts w:ascii="Arial" w:hAnsi="Arial" w:cs="Arial"/>
                <w:sz w:val="20"/>
                <w:lang w:eastAsia="en-GB"/>
              </w:rPr>
            </w:pPr>
            <w:r>
              <w:rPr>
                <w:rFonts w:ascii="Arial" w:hAnsi="Arial" w:cs="Arial"/>
                <w:color w:val="000000"/>
                <w:sz w:val="20"/>
              </w:rPr>
              <w:t xml:space="preserve">                  5,240 </w:t>
            </w:r>
          </w:p>
        </w:tc>
      </w:tr>
      <w:tr w:rsidR="00EF7564" w:rsidRPr="00810477" w14:paraId="72223F73" w14:textId="77777777" w:rsidTr="00BE5BE5">
        <w:trPr>
          <w:trHeight w:val="259"/>
        </w:trPr>
        <w:tc>
          <w:tcPr>
            <w:tcW w:w="2455" w:type="dxa"/>
            <w:shd w:val="solid" w:color="FFFFFF" w:fill="auto"/>
            <w:vAlign w:val="center"/>
          </w:tcPr>
          <w:p w14:paraId="6F0243C1" w14:textId="77777777" w:rsidR="00EF7564" w:rsidRPr="00810477" w:rsidRDefault="00EF7564" w:rsidP="00EF7564">
            <w:pPr>
              <w:autoSpaceDE w:val="0"/>
              <w:autoSpaceDN w:val="0"/>
              <w:adjustRightInd w:val="0"/>
              <w:rPr>
                <w:rFonts w:ascii="Arial" w:hAnsi="Arial" w:cs="Arial"/>
                <w:sz w:val="20"/>
                <w:lang w:eastAsia="en-GB"/>
              </w:rPr>
            </w:pPr>
            <w:r w:rsidRPr="00810477">
              <w:rPr>
                <w:rFonts w:ascii="Arial" w:hAnsi="Arial" w:cs="Arial"/>
                <w:sz w:val="20"/>
                <w:lang w:eastAsia="en-GB"/>
              </w:rPr>
              <w:t>Gwynedd</w:t>
            </w:r>
          </w:p>
        </w:tc>
        <w:tc>
          <w:tcPr>
            <w:tcW w:w="1805" w:type="dxa"/>
            <w:shd w:val="solid" w:color="FFFFFF" w:fill="auto"/>
            <w:vAlign w:val="bottom"/>
          </w:tcPr>
          <w:p w14:paraId="00DBEBBB" w14:textId="41BCA6B5" w:rsidR="00EF7564" w:rsidRPr="00810477" w:rsidRDefault="00EF7564" w:rsidP="00EF7564">
            <w:pPr>
              <w:autoSpaceDE w:val="0"/>
              <w:autoSpaceDN w:val="0"/>
              <w:adjustRightInd w:val="0"/>
              <w:jc w:val="right"/>
              <w:rPr>
                <w:rFonts w:ascii="Arial" w:hAnsi="Arial" w:cs="Arial"/>
                <w:sz w:val="20"/>
                <w:lang w:eastAsia="en-GB"/>
              </w:rPr>
            </w:pPr>
            <w:r>
              <w:rPr>
                <w:rFonts w:ascii="Arial" w:hAnsi="Arial" w:cs="Arial"/>
                <w:color w:val="000000"/>
                <w:sz w:val="20"/>
              </w:rPr>
              <w:t>195,905</w:t>
            </w:r>
          </w:p>
        </w:tc>
        <w:tc>
          <w:tcPr>
            <w:tcW w:w="1805" w:type="dxa"/>
            <w:shd w:val="solid" w:color="FFFFFF" w:fill="auto"/>
            <w:vAlign w:val="bottom"/>
          </w:tcPr>
          <w:p w14:paraId="0050114E" w14:textId="1382F996" w:rsidR="00EF7564" w:rsidRPr="00810477" w:rsidRDefault="00EF7564" w:rsidP="00EF7564">
            <w:pPr>
              <w:autoSpaceDE w:val="0"/>
              <w:autoSpaceDN w:val="0"/>
              <w:adjustRightInd w:val="0"/>
              <w:jc w:val="right"/>
              <w:rPr>
                <w:rFonts w:ascii="Arial" w:hAnsi="Arial" w:cs="Arial"/>
                <w:sz w:val="20"/>
                <w:lang w:eastAsia="en-GB"/>
              </w:rPr>
            </w:pPr>
            <w:r>
              <w:rPr>
                <w:rFonts w:ascii="Arial" w:hAnsi="Arial" w:cs="Arial"/>
                <w:color w:val="000000"/>
                <w:sz w:val="20"/>
              </w:rPr>
              <w:t>213,214</w:t>
            </w:r>
          </w:p>
        </w:tc>
        <w:tc>
          <w:tcPr>
            <w:tcW w:w="1806" w:type="dxa"/>
            <w:shd w:val="solid" w:color="FFFFFF" w:fill="auto"/>
            <w:vAlign w:val="bottom"/>
          </w:tcPr>
          <w:p w14:paraId="1D048327" w14:textId="6DF7E69A" w:rsidR="00EF7564" w:rsidRPr="00810477" w:rsidRDefault="00EF7564" w:rsidP="00EF7564">
            <w:pPr>
              <w:autoSpaceDE w:val="0"/>
              <w:autoSpaceDN w:val="0"/>
              <w:adjustRightInd w:val="0"/>
              <w:jc w:val="right"/>
              <w:rPr>
                <w:rFonts w:ascii="Arial" w:hAnsi="Arial" w:cs="Arial"/>
                <w:sz w:val="20"/>
                <w:lang w:eastAsia="en-GB"/>
              </w:rPr>
            </w:pPr>
            <w:r>
              <w:rPr>
                <w:rFonts w:ascii="Arial" w:hAnsi="Arial" w:cs="Arial"/>
                <w:color w:val="000000"/>
                <w:sz w:val="20"/>
              </w:rPr>
              <w:t>8.8%</w:t>
            </w:r>
          </w:p>
        </w:tc>
        <w:tc>
          <w:tcPr>
            <w:tcW w:w="1805" w:type="dxa"/>
            <w:shd w:val="solid" w:color="FFFFFF" w:fill="auto"/>
            <w:vAlign w:val="bottom"/>
          </w:tcPr>
          <w:p w14:paraId="0BAEE6A7" w14:textId="4E3230DC" w:rsidR="00EF7564" w:rsidRPr="00810477" w:rsidRDefault="00EF7564" w:rsidP="00EF7564">
            <w:pPr>
              <w:autoSpaceDE w:val="0"/>
              <w:autoSpaceDN w:val="0"/>
              <w:adjustRightInd w:val="0"/>
              <w:jc w:val="right"/>
              <w:rPr>
                <w:rFonts w:ascii="Arial" w:hAnsi="Arial" w:cs="Arial"/>
                <w:sz w:val="20"/>
                <w:lang w:eastAsia="en-GB"/>
              </w:rPr>
            </w:pPr>
            <w:r>
              <w:rPr>
                <w:rFonts w:ascii="Arial" w:hAnsi="Arial" w:cs="Arial"/>
                <w:color w:val="000000"/>
                <w:sz w:val="20"/>
              </w:rPr>
              <w:t>17</w:t>
            </w:r>
          </w:p>
        </w:tc>
        <w:tc>
          <w:tcPr>
            <w:tcW w:w="1806" w:type="dxa"/>
            <w:shd w:val="solid" w:color="FFFFFF" w:fill="auto"/>
            <w:vAlign w:val="bottom"/>
          </w:tcPr>
          <w:p w14:paraId="76A34F33" w14:textId="61191D2B" w:rsidR="00EF7564" w:rsidRPr="00810477" w:rsidRDefault="00EF7564" w:rsidP="00EF7564">
            <w:pPr>
              <w:autoSpaceDE w:val="0"/>
              <w:autoSpaceDN w:val="0"/>
              <w:adjustRightInd w:val="0"/>
              <w:jc w:val="right"/>
              <w:rPr>
                <w:rFonts w:ascii="Arial" w:hAnsi="Arial" w:cs="Arial"/>
                <w:sz w:val="20"/>
                <w:lang w:eastAsia="en-GB"/>
              </w:rPr>
            </w:pPr>
            <w:r>
              <w:rPr>
                <w:rFonts w:ascii="Arial" w:hAnsi="Arial" w:cs="Arial"/>
                <w:color w:val="000000"/>
                <w:sz w:val="20"/>
              </w:rPr>
              <w:t xml:space="preserve">                  8,263 </w:t>
            </w:r>
          </w:p>
        </w:tc>
      </w:tr>
      <w:tr w:rsidR="00EF7564" w:rsidRPr="00810477" w14:paraId="411E6D1C" w14:textId="77777777" w:rsidTr="00BE5BE5">
        <w:trPr>
          <w:trHeight w:val="259"/>
        </w:trPr>
        <w:tc>
          <w:tcPr>
            <w:tcW w:w="2455" w:type="dxa"/>
            <w:shd w:val="solid" w:color="FFFFFF" w:fill="auto"/>
            <w:vAlign w:val="center"/>
          </w:tcPr>
          <w:p w14:paraId="26E91C95" w14:textId="77777777" w:rsidR="00EF7564" w:rsidRPr="00810477" w:rsidRDefault="00EF7564" w:rsidP="00EF7564">
            <w:pPr>
              <w:autoSpaceDE w:val="0"/>
              <w:autoSpaceDN w:val="0"/>
              <w:adjustRightInd w:val="0"/>
              <w:rPr>
                <w:rFonts w:ascii="Arial" w:hAnsi="Arial" w:cs="Arial"/>
                <w:sz w:val="20"/>
                <w:lang w:eastAsia="en-GB"/>
              </w:rPr>
            </w:pPr>
            <w:r w:rsidRPr="00810477">
              <w:rPr>
                <w:rFonts w:ascii="Arial" w:hAnsi="Arial" w:cs="Arial"/>
                <w:sz w:val="20"/>
                <w:lang w:eastAsia="en-GB"/>
              </w:rPr>
              <w:t>Conwy</w:t>
            </w:r>
          </w:p>
        </w:tc>
        <w:tc>
          <w:tcPr>
            <w:tcW w:w="1805" w:type="dxa"/>
            <w:shd w:val="solid" w:color="FFFFFF" w:fill="auto"/>
            <w:vAlign w:val="bottom"/>
          </w:tcPr>
          <w:p w14:paraId="3A37D251" w14:textId="224EC64B" w:rsidR="00EF7564" w:rsidRPr="00810477" w:rsidRDefault="00EF7564" w:rsidP="00EF7564">
            <w:pPr>
              <w:autoSpaceDE w:val="0"/>
              <w:autoSpaceDN w:val="0"/>
              <w:adjustRightInd w:val="0"/>
              <w:jc w:val="right"/>
              <w:rPr>
                <w:rFonts w:ascii="Arial" w:hAnsi="Arial" w:cs="Arial"/>
                <w:sz w:val="20"/>
                <w:lang w:eastAsia="en-GB"/>
              </w:rPr>
            </w:pPr>
            <w:r>
              <w:rPr>
                <w:rFonts w:ascii="Arial" w:hAnsi="Arial" w:cs="Arial"/>
                <w:color w:val="000000"/>
                <w:sz w:val="20"/>
              </w:rPr>
              <w:t>167,356</w:t>
            </w:r>
          </w:p>
        </w:tc>
        <w:tc>
          <w:tcPr>
            <w:tcW w:w="1805" w:type="dxa"/>
            <w:shd w:val="solid" w:color="FFFFFF" w:fill="auto"/>
            <w:vAlign w:val="bottom"/>
          </w:tcPr>
          <w:p w14:paraId="63F83CB8" w14:textId="78D666D5" w:rsidR="00EF7564" w:rsidRPr="00810477" w:rsidRDefault="00EF7564" w:rsidP="00EF7564">
            <w:pPr>
              <w:autoSpaceDE w:val="0"/>
              <w:autoSpaceDN w:val="0"/>
              <w:adjustRightInd w:val="0"/>
              <w:jc w:val="right"/>
              <w:rPr>
                <w:rFonts w:ascii="Arial" w:hAnsi="Arial" w:cs="Arial"/>
                <w:sz w:val="20"/>
                <w:lang w:eastAsia="en-GB"/>
              </w:rPr>
            </w:pPr>
            <w:r>
              <w:rPr>
                <w:rFonts w:ascii="Arial" w:hAnsi="Arial" w:cs="Arial"/>
                <w:color w:val="000000"/>
                <w:sz w:val="20"/>
              </w:rPr>
              <w:t>183,311</w:t>
            </w:r>
          </w:p>
        </w:tc>
        <w:tc>
          <w:tcPr>
            <w:tcW w:w="1806" w:type="dxa"/>
            <w:shd w:val="solid" w:color="FFFFFF" w:fill="auto"/>
            <w:vAlign w:val="bottom"/>
          </w:tcPr>
          <w:p w14:paraId="0280FBAD" w14:textId="4607FB0A" w:rsidR="00EF7564" w:rsidRPr="00810477" w:rsidRDefault="00EF7564" w:rsidP="00EF7564">
            <w:pPr>
              <w:autoSpaceDE w:val="0"/>
              <w:autoSpaceDN w:val="0"/>
              <w:adjustRightInd w:val="0"/>
              <w:jc w:val="right"/>
              <w:rPr>
                <w:rFonts w:ascii="Arial" w:hAnsi="Arial" w:cs="Arial"/>
                <w:sz w:val="20"/>
                <w:lang w:eastAsia="en-GB"/>
              </w:rPr>
            </w:pPr>
            <w:r>
              <w:rPr>
                <w:rFonts w:ascii="Arial" w:hAnsi="Arial" w:cs="Arial"/>
                <w:color w:val="000000"/>
                <w:sz w:val="20"/>
              </w:rPr>
              <w:t>9.5%</w:t>
            </w:r>
          </w:p>
        </w:tc>
        <w:tc>
          <w:tcPr>
            <w:tcW w:w="1805" w:type="dxa"/>
            <w:shd w:val="solid" w:color="FFFFFF" w:fill="auto"/>
            <w:vAlign w:val="bottom"/>
          </w:tcPr>
          <w:p w14:paraId="2A21ED12" w14:textId="0C5BD41E" w:rsidR="00EF7564" w:rsidRPr="00810477" w:rsidRDefault="00EF7564" w:rsidP="00EF7564">
            <w:pPr>
              <w:autoSpaceDE w:val="0"/>
              <w:autoSpaceDN w:val="0"/>
              <w:adjustRightInd w:val="0"/>
              <w:jc w:val="right"/>
              <w:rPr>
                <w:rFonts w:ascii="Arial" w:hAnsi="Arial" w:cs="Arial"/>
                <w:sz w:val="20"/>
                <w:lang w:eastAsia="en-GB"/>
              </w:rPr>
            </w:pPr>
            <w:r>
              <w:rPr>
                <w:rFonts w:ascii="Arial" w:hAnsi="Arial" w:cs="Arial"/>
                <w:color w:val="000000"/>
                <w:sz w:val="20"/>
              </w:rPr>
              <w:t>5</w:t>
            </w:r>
          </w:p>
        </w:tc>
        <w:tc>
          <w:tcPr>
            <w:tcW w:w="1806" w:type="dxa"/>
            <w:shd w:val="solid" w:color="FFFFFF" w:fill="auto"/>
            <w:vAlign w:val="bottom"/>
          </w:tcPr>
          <w:p w14:paraId="2D3764B0" w14:textId="38BCA088" w:rsidR="00EF7564" w:rsidRPr="00810477" w:rsidRDefault="00EF7564" w:rsidP="00EF7564">
            <w:pPr>
              <w:autoSpaceDE w:val="0"/>
              <w:autoSpaceDN w:val="0"/>
              <w:adjustRightInd w:val="0"/>
              <w:jc w:val="right"/>
              <w:rPr>
                <w:rFonts w:ascii="Arial" w:hAnsi="Arial" w:cs="Arial"/>
                <w:sz w:val="20"/>
                <w:lang w:eastAsia="en-GB"/>
              </w:rPr>
            </w:pPr>
            <w:r>
              <w:rPr>
                <w:rFonts w:ascii="Arial" w:hAnsi="Arial" w:cs="Arial"/>
                <w:color w:val="000000"/>
                <w:sz w:val="20"/>
              </w:rPr>
              <w:t xml:space="preserve">                  9,189 </w:t>
            </w:r>
          </w:p>
        </w:tc>
      </w:tr>
      <w:tr w:rsidR="00EF7564" w:rsidRPr="00810477" w14:paraId="57F109D8" w14:textId="77777777" w:rsidTr="00BE5BE5">
        <w:trPr>
          <w:trHeight w:val="259"/>
        </w:trPr>
        <w:tc>
          <w:tcPr>
            <w:tcW w:w="2455" w:type="dxa"/>
            <w:shd w:val="solid" w:color="FFFFFF" w:fill="auto"/>
            <w:vAlign w:val="center"/>
          </w:tcPr>
          <w:p w14:paraId="474C955A" w14:textId="77777777" w:rsidR="00EF7564" w:rsidRPr="00810477" w:rsidRDefault="00EF7564" w:rsidP="00EF7564">
            <w:pPr>
              <w:autoSpaceDE w:val="0"/>
              <w:autoSpaceDN w:val="0"/>
              <w:adjustRightInd w:val="0"/>
              <w:rPr>
                <w:rFonts w:ascii="Arial" w:hAnsi="Arial" w:cs="Arial"/>
                <w:sz w:val="20"/>
                <w:lang w:eastAsia="en-GB"/>
              </w:rPr>
            </w:pPr>
            <w:r w:rsidRPr="00810477">
              <w:rPr>
                <w:rFonts w:ascii="Arial" w:hAnsi="Arial" w:cs="Arial"/>
                <w:sz w:val="20"/>
                <w:lang w:eastAsia="en-GB"/>
              </w:rPr>
              <w:t>Denbighshire</w:t>
            </w:r>
          </w:p>
        </w:tc>
        <w:tc>
          <w:tcPr>
            <w:tcW w:w="1805" w:type="dxa"/>
            <w:shd w:val="solid" w:color="FFFFFF" w:fill="auto"/>
            <w:vAlign w:val="bottom"/>
          </w:tcPr>
          <w:p w14:paraId="0B95E016" w14:textId="55BE0BA2" w:rsidR="00EF7564" w:rsidRPr="00810477" w:rsidRDefault="00EF7564" w:rsidP="00EF7564">
            <w:pPr>
              <w:autoSpaceDE w:val="0"/>
              <w:autoSpaceDN w:val="0"/>
              <w:adjustRightInd w:val="0"/>
              <w:jc w:val="right"/>
              <w:rPr>
                <w:rFonts w:ascii="Arial" w:hAnsi="Arial" w:cs="Arial"/>
                <w:sz w:val="20"/>
                <w:lang w:eastAsia="en-GB"/>
              </w:rPr>
            </w:pPr>
            <w:r>
              <w:rPr>
                <w:rFonts w:ascii="Arial" w:hAnsi="Arial" w:cs="Arial"/>
                <w:color w:val="000000"/>
                <w:sz w:val="20"/>
              </w:rPr>
              <w:t>159,060</w:t>
            </w:r>
          </w:p>
        </w:tc>
        <w:tc>
          <w:tcPr>
            <w:tcW w:w="1805" w:type="dxa"/>
            <w:shd w:val="solid" w:color="FFFFFF" w:fill="auto"/>
            <w:vAlign w:val="bottom"/>
          </w:tcPr>
          <w:p w14:paraId="0AFFB543" w14:textId="69F1CFC0" w:rsidR="00EF7564" w:rsidRPr="00810477" w:rsidRDefault="00EF7564" w:rsidP="00EF7564">
            <w:pPr>
              <w:autoSpaceDE w:val="0"/>
              <w:autoSpaceDN w:val="0"/>
              <w:adjustRightInd w:val="0"/>
              <w:jc w:val="right"/>
              <w:rPr>
                <w:rFonts w:ascii="Arial" w:hAnsi="Arial" w:cs="Arial"/>
                <w:sz w:val="20"/>
                <w:lang w:eastAsia="en-GB"/>
              </w:rPr>
            </w:pPr>
            <w:r>
              <w:rPr>
                <w:rFonts w:ascii="Arial" w:hAnsi="Arial" w:cs="Arial"/>
                <w:color w:val="000000"/>
                <w:sz w:val="20"/>
              </w:rPr>
              <w:t>173,640</w:t>
            </w:r>
          </w:p>
        </w:tc>
        <w:tc>
          <w:tcPr>
            <w:tcW w:w="1806" w:type="dxa"/>
            <w:shd w:val="solid" w:color="FFFFFF" w:fill="auto"/>
            <w:vAlign w:val="bottom"/>
          </w:tcPr>
          <w:p w14:paraId="47AC7791" w14:textId="342D1201" w:rsidR="00EF7564" w:rsidRPr="00810477" w:rsidRDefault="00EF7564" w:rsidP="00EF7564">
            <w:pPr>
              <w:autoSpaceDE w:val="0"/>
              <w:autoSpaceDN w:val="0"/>
              <w:adjustRightInd w:val="0"/>
              <w:jc w:val="right"/>
              <w:rPr>
                <w:rFonts w:ascii="Arial" w:hAnsi="Arial" w:cs="Arial"/>
                <w:sz w:val="20"/>
                <w:lang w:eastAsia="en-GB"/>
              </w:rPr>
            </w:pPr>
            <w:r>
              <w:rPr>
                <w:rFonts w:ascii="Arial" w:hAnsi="Arial" w:cs="Arial"/>
                <w:color w:val="000000"/>
                <w:sz w:val="20"/>
              </w:rPr>
              <w:t>9.2%</w:t>
            </w:r>
          </w:p>
        </w:tc>
        <w:tc>
          <w:tcPr>
            <w:tcW w:w="1805" w:type="dxa"/>
            <w:shd w:val="solid" w:color="FFFFFF" w:fill="auto"/>
            <w:vAlign w:val="bottom"/>
          </w:tcPr>
          <w:p w14:paraId="799127C8" w14:textId="28ABDAD3" w:rsidR="00EF7564" w:rsidRPr="00810477" w:rsidRDefault="00EF7564" w:rsidP="00EF7564">
            <w:pPr>
              <w:autoSpaceDE w:val="0"/>
              <w:autoSpaceDN w:val="0"/>
              <w:adjustRightInd w:val="0"/>
              <w:jc w:val="right"/>
              <w:rPr>
                <w:rFonts w:ascii="Arial" w:hAnsi="Arial" w:cs="Arial"/>
                <w:sz w:val="20"/>
                <w:lang w:eastAsia="en-GB"/>
              </w:rPr>
            </w:pPr>
            <w:r>
              <w:rPr>
                <w:rFonts w:ascii="Arial" w:hAnsi="Arial" w:cs="Arial"/>
                <w:color w:val="000000"/>
                <w:sz w:val="20"/>
              </w:rPr>
              <w:t>15</w:t>
            </w:r>
          </w:p>
        </w:tc>
        <w:tc>
          <w:tcPr>
            <w:tcW w:w="1806" w:type="dxa"/>
            <w:shd w:val="solid" w:color="FFFFFF" w:fill="auto"/>
            <w:vAlign w:val="bottom"/>
          </w:tcPr>
          <w:p w14:paraId="0DC19EAD" w14:textId="112D4832" w:rsidR="00EF7564" w:rsidRPr="00810477" w:rsidRDefault="00EF7564" w:rsidP="00EF7564">
            <w:pPr>
              <w:autoSpaceDE w:val="0"/>
              <w:autoSpaceDN w:val="0"/>
              <w:adjustRightInd w:val="0"/>
              <w:jc w:val="right"/>
              <w:rPr>
                <w:rFonts w:ascii="Arial" w:hAnsi="Arial" w:cs="Arial"/>
                <w:sz w:val="20"/>
                <w:lang w:eastAsia="en-GB"/>
              </w:rPr>
            </w:pPr>
            <w:r>
              <w:rPr>
                <w:rFonts w:ascii="Arial" w:hAnsi="Arial" w:cs="Arial"/>
                <w:color w:val="000000"/>
                <w:sz w:val="20"/>
              </w:rPr>
              <w:t xml:space="preserve">                  8,536 </w:t>
            </w:r>
          </w:p>
        </w:tc>
      </w:tr>
      <w:tr w:rsidR="00EF7564" w:rsidRPr="00810477" w14:paraId="5B8F67ED" w14:textId="77777777" w:rsidTr="00BE5BE5">
        <w:trPr>
          <w:trHeight w:val="259"/>
        </w:trPr>
        <w:tc>
          <w:tcPr>
            <w:tcW w:w="2455" w:type="dxa"/>
            <w:shd w:val="solid" w:color="FFFFFF" w:fill="auto"/>
            <w:vAlign w:val="center"/>
          </w:tcPr>
          <w:p w14:paraId="551389BF" w14:textId="77777777" w:rsidR="00EF7564" w:rsidRPr="00810477" w:rsidRDefault="00EF7564" w:rsidP="00EF7564">
            <w:pPr>
              <w:autoSpaceDE w:val="0"/>
              <w:autoSpaceDN w:val="0"/>
              <w:adjustRightInd w:val="0"/>
              <w:rPr>
                <w:rFonts w:ascii="Arial" w:hAnsi="Arial" w:cs="Arial"/>
                <w:sz w:val="20"/>
                <w:lang w:eastAsia="en-GB"/>
              </w:rPr>
            </w:pPr>
            <w:r w:rsidRPr="00810477">
              <w:rPr>
                <w:rFonts w:ascii="Arial" w:hAnsi="Arial" w:cs="Arial"/>
                <w:sz w:val="20"/>
                <w:lang w:eastAsia="en-GB"/>
              </w:rPr>
              <w:t>Flintshire</w:t>
            </w:r>
          </w:p>
        </w:tc>
        <w:tc>
          <w:tcPr>
            <w:tcW w:w="1805" w:type="dxa"/>
            <w:shd w:val="solid" w:color="FFFFFF" w:fill="auto"/>
            <w:vAlign w:val="bottom"/>
          </w:tcPr>
          <w:p w14:paraId="103EECC1" w14:textId="5004579C" w:rsidR="00EF7564" w:rsidRPr="00810477" w:rsidRDefault="00EF7564" w:rsidP="00EF7564">
            <w:pPr>
              <w:autoSpaceDE w:val="0"/>
              <w:autoSpaceDN w:val="0"/>
              <w:adjustRightInd w:val="0"/>
              <w:jc w:val="right"/>
              <w:rPr>
                <w:rFonts w:ascii="Arial" w:hAnsi="Arial" w:cs="Arial"/>
                <w:sz w:val="20"/>
                <w:lang w:eastAsia="en-GB"/>
              </w:rPr>
            </w:pPr>
            <w:r>
              <w:rPr>
                <w:rFonts w:ascii="Arial" w:hAnsi="Arial" w:cs="Arial"/>
                <w:color w:val="000000"/>
                <w:sz w:val="20"/>
              </w:rPr>
              <w:t>212,608</w:t>
            </w:r>
          </w:p>
        </w:tc>
        <w:tc>
          <w:tcPr>
            <w:tcW w:w="1805" w:type="dxa"/>
            <w:shd w:val="solid" w:color="FFFFFF" w:fill="auto"/>
            <w:vAlign w:val="bottom"/>
          </w:tcPr>
          <w:p w14:paraId="2E0A0E9A" w14:textId="51E5DED7" w:rsidR="00EF7564" w:rsidRPr="00810477" w:rsidRDefault="00EF7564" w:rsidP="00EF7564">
            <w:pPr>
              <w:autoSpaceDE w:val="0"/>
              <w:autoSpaceDN w:val="0"/>
              <w:adjustRightInd w:val="0"/>
              <w:jc w:val="right"/>
              <w:rPr>
                <w:rFonts w:ascii="Arial" w:hAnsi="Arial" w:cs="Arial"/>
                <w:sz w:val="20"/>
                <w:lang w:eastAsia="en-GB"/>
              </w:rPr>
            </w:pPr>
            <w:r>
              <w:rPr>
                <w:rFonts w:ascii="Arial" w:hAnsi="Arial" w:cs="Arial"/>
                <w:color w:val="000000"/>
                <w:sz w:val="20"/>
              </w:rPr>
              <w:t>232,179</w:t>
            </w:r>
          </w:p>
        </w:tc>
        <w:tc>
          <w:tcPr>
            <w:tcW w:w="1806" w:type="dxa"/>
            <w:shd w:val="solid" w:color="FFFFFF" w:fill="auto"/>
            <w:vAlign w:val="bottom"/>
          </w:tcPr>
          <w:p w14:paraId="4EBB3D8C" w14:textId="06053AE4" w:rsidR="00EF7564" w:rsidRPr="00810477" w:rsidRDefault="00EF7564" w:rsidP="00EF7564">
            <w:pPr>
              <w:autoSpaceDE w:val="0"/>
              <w:autoSpaceDN w:val="0"/>
              <w:adjustRightInd w:val="0"/>
              <w:jc w:val="right"/>
              <w:rPr>
                <w:rFonts w:ascii="Arial" w:hAnsi="Arial" w:cs="Arial"/>
                <w:sz w:val="20"/>
                <w:lang w:eastAsia="en-GB"/>
              </w:rPr>
            </w:pPr>
            <w:r>
              <w:rPr>
                <w:rFonts w:ascii="Arial" w:hAnsi="Arial" w:cs="Arial"/>
                <w:color w:val="000000"/>
                <w:sz w:val="20"/>
              </w:rPr>
              <w:t>9.2%</w:t>
            </w:r>
          </w:p>
        </w:tc>
        <w:tc>
          <w:tcPr>
            <w:tcW w:w="1805" w:type="dxa"/>
            <w:shd w:val="solid" w:color="FFFFFF" w:fill="auto"/>
            <w:vAlign w:val="bottom"/>
          </w:tcPr>
          <w:p w14:paraId="0CC76443" w14:textId="082E3E80" w:rsidR="00EF7564" w:rsidRPr="00810477" w:rsidRDefault="00EF7564" w:rsidP="00EF7564">
            <w:pPr>
              <w:autoSpaceDE w:val="0"/>
              <w:autoSpaceDN w:val="0"/>
              <w:adjustRightInd w:val="0"/>
              <w:jc w:val="right"/>
              <w:rPr>
                <w:rFonts w:ascii="Arial" w:hAnsi="Arial" w:cs="Arial"/>
                <w:sz w:val="20"/>
                <w:lang w:eastAsia="en-GB"/>
              </w:rPr>
            </w:pPr>
            <w:r>
              <w:rPr>
                <w:rFonts w:ascii="Arial" w:hAnsi="Arial" w:cs="Arial"/>
                <w:color w:val="000000"/>
                <w:sz w:val="20"/>
              </w:rPr>
              <w:t>14</w:t>
            </w:r>
          </w:p>
        </w:tc>
        <w:tc>
          <w:tcPr>
            <w:tcW w:w="1806" w:type="dxa"/>
            <w:shd w:val="solid" w:color="FFFFFF" w:fill="auto"/>
            <w:vAlign w:val="bottom"/>
          </w:tcPr>
          <w:p w14:paraId="2CB5F547" w14:textId="123D6859" w:rsidR="00EF7564" w:rsidRPr="00810477" w:rsidRDefault="00EF7564" w:rsidP="00EF7564">
            <w:pPr>
              <w:autoSpaceDE w:val="0"/>
              <w:autoSpaceDN w:val="0"/>
              <w:adjustRightInd w:val="0"/>
              <w:jc w:val="right"/>
              <w:rPr>
                <w:rFonts w:ascii="Arial" w:hAnsi="Arial" w:cs="Arial"/>
                <w:sz w:val="20"/>
                <w:lang w:eastAsia="en-GB"/>
              </w:rPr>
            </w:pPr>
            <w:r>
              <w:rPr>
                <w:rFonts w:ascii="Arial" w:hAnsi="Arial" w:cs="Arial"/>
                <w:color w:val="000000"/>
                <w:sz w:val="20"/>
              </w:rPr>
              <w:t xml:space="preserve">                  9,680 </w:t>
            </w:r>
          </w:p>
        </w:tc>
      </w:tr>
      <w:tr w:rsidR="00EF7564" w:rsidRPr="00810477" w14:paraId="3B1AEF6C" w14:textId="77777777" w:rsidTr="00BE5BE5">
        <w:trPr>
          <w:trHeight w:val="259"/>
        </w:trPr>
        <w:tc>
          <w:tcPr>
            <w:tcW w:w="2455" w:type="dxa"/>
            <w:shd w:val="solid" w:color="FFFFFF" w:fill="auto"/>
            <w:vAlign w:val="center"/>
          </w:tcPr>
          <w:p w14:paraId="2792E5B6" w14:textId="77777777" w:rsidR="00EF7564" w:rsidRPr="00810477" w:rsidRDefault="00EF7564" w:rsidP="00EF7564">
            <w:pPr>
              <w:autoSpaceDE w:val="0"/>
              <w:autoSpaceDN w:val="0"/>
              <w:adjustRightInd w:val="0"/>
              <w:rPr>
                <w:rFonts w:ascii="Arial" w:hAnsi="Arial" w:cs="Arial"/>
                <w:sz w:val="20"/>
                <w:lang w:eastAsia="en-GB"/>
              </w:rPr>
            </w:pPr>
            <w:r w:rsidRPr="00810477">
              <w:rPr>
                <w:rFonts w:ascii="Arial" w:hAnsi="Arial" w:cs="Arial"/>
                <w:sz w:val="20"/>
                <w:lang w:eastAsia="en-GB"/>
              </w:rPr>
              <w:t>Wrexham</w:t>
            </w:r>
          </w:p>
        </w:tc>
        <w:tc>
          <w:tcPr>
            <w:tcW w:w="1805" w:type="dxa"/>
            <w:shd w:val="solid" w:color="FFFFFF" w:fill="auto"/>
            <w:vAlign w:val="bottom"/>
          </w:tcPr>
          <w:p w14:paraId="4B1C5753" w14:textId="49A84754" w:rsidR="00EF7564" w:rsidRPr="00810477" w:rsidRDefault="00EF7564" w:rsidP="00EF7564">
            <w:pPr>
              <w:autoSpaceDE w:val="0"/>
              <w:autoSpaceDN w:val="0"/>
              <w:adjustRightInd w:val="0"/>
              <w:jc w:val="right"/>
              <w:rPr>
                <w:rFonts w:ascii="Arial" w:hAnsi="Arial" w:cs="Arial"/>
                <w:sz w:val="20"/>
                <w:lang w:eastAsia="en-GB"/>
              </w:rPr>
            </w:pPr>
            <w:r>
              <w:rPr>
                <w:rFonts w:ascii="Arial" w:hAnsi="Arial" w:cs="Arial"/>
                <w:color w:val="000000"/>
                <w:sz w:val="20"/>
              </w:rPr>
              <w:t>189,233</w:t>
            </w:r>
          </w:p>
        </w:tc>
        <w:tc>
          <w:tcPr>
            <w:tcW w:w="1805" w:type="dxa"/>
            <w:shd w:val="solid" w:color="FFFFFF" w:fill="auto"/>
            <w:vAlign w:val="bottom"/>
          </w:tcPr>
          <w:p w14:paraId="103BE2FF" w14:textId="4E07A124" w:rsidR="00EF7564" w:rsidRPr="00810477" w:rsidRDefault="00EF7564" w:rsidP="00EF7564">
            <w:pPr>
              <w:autoSpaceDE w:val="0"/>
              <w:autoSpaceDN w:val="0"/>
              <w:adjustRightInd w:val="0"/>
              <w:jc w:val="right"/>
              <w:rPr>
                <w:rFonts w:ascii="Arial" w:hAnsi="Arial" w:cs="Arial"/>
                <w:sz w:val="20"/>
                <w:lang w:eastAsia="en-GB"/>
              </w:rPr>
            </w:pPr>
            <w:r>
              <w:rPr>
                <w:rFonts w:ascii="Arial" w:hAnsi="Arial" w:cs="Arial"/>
                <w:color w:val="000000"/>
                <w:sz w:val="20"/>
              </w:rPr>
              <w:t>207,064</w:t>
            </w:r>
          </w:p>
        </w:tc>
        <w:tc>
          <w:tcPr>
            <w:tcW w:w="1806" w:type="dxa"/>
            <w:shd w:val="solid" w:color="FFFFFF" w:fill="auto"/>
            <w:vAlign w:val="bottom"/>
          </w:tcPr>
          <w:p w14:paraId="21AE55BB" w14:textId="4933F236" w:rsidR="00EF7564" w:rsidRPr="00810477" w:rsidRDefault="00EF7564" w:rsidP="00EF7564">
            <w:pPr>
              <w:autoSpaceDE w:val="0"/>
              <w:autoSpaceDN w:val="0"/>
              <w:adjustRightInd w:val="0"/>
              <w:jc w:val="right"/>
              <w:rPr>
                <w:rFonts w:ascii="Arial" w:hAnsi="Arial" w:cs="Arial"/>
                <w:sz w:val="20"/>
                <w:lang w:eastAsia="en-GB"/>
              </w:rPr>
            </w:pPr>
            <w:r>
              <w:rPr>
                <w:rFonts w:ascii="Arial" w:hAnsi="Arial" w:cs="Arial"/>
                <w:color w:val="000000"/>
                <w:sz w:val="20"/>
              </w:rPr>
              <w:t>9.4%</w:t>
            </w:r>
          </w:p>
        </w:tc>
        <w:tc>
          <w:tcPr>
            <w:tcW w:w="1805" w:type="dxa"/>
            <w:shd w:val="solid" w:color="FFFFFF" w:fill="auto"/>
            <w:vAlign w:val="bottom"/>
          </w:tcPr>
          <w:p w14:paraId="181907A3" w14:textId="062D11DF" w:rsidR="00EF7564" w:rsidRPr="00810477" w:rsidRDefault="00EF7564" w:rsidP="00EF7564">
            <w:pPr>
              <w:autoSpaceDE w:val="0"/>
              <w:autoSpaceDN w:val="0"/>
              <w:adjustRightInd w:val="0"/>
              <w:jc w:val="right"/>
              <w:rPr>
                <w:rFonts w:ascii="Arial" w:hAnsi="Arial" w:cs="Arial"/>
                <w:sz w:val="20"/>
                <w:lang w:eastAsia="en-GB"/>
              </w:rPr>
            </w:pPr>
            <w:r>
              <w:rPr>
                <w:rFonts w:ascii="Arial" w:hAnsi="Arial" w:cs="Arial"/>
                <w:color w:val="000000"/>
                <w:sz w:val="20"/>
              </w:rPr>
              <w:t>7</w:t>
            </w:r>
          </w:p>
        </w:tc>
        <w:tc>
          <w:tcPr>
            <w:tcW w:w="1806" w:type="dxa"/>
            <w:shd w:val="solid" w:color="FFFFFF" w:fill="auto"/>
            <w:vAlign w:val="bottom"/>
          </w:tcPr>
          <w:p w14:paraId="18A2DD92" w14:textId="14F7F5B4" w:rsidR="00EF7564" w:rsidRPr="00810477" w:rsidRDefault="00EF7564" w:rsidP="00EF7564">
            <w:pPr>
              <w:autoSpaceDE w:val="0"/>
              <w:autoSpaceDN w:val="0"/>
              <w:adjustRightInd w:val="0"/>
              <w:jc w:val="right"/>
              <w:rPr>
                <w:rFonts w:ascii="Arial" w:hAnsi="Arial" w:cs="Arial"/>
                <w:sz w:val="20"/>
                <w:lang w:eastAsia="en-GB"/>
              </w:rPr>
            </w:pPr>
            <w:r>
              <w:rPr>
                <w:rFonts w:ascii="Arial" w:hAnsi="Arial" w:cs="Arial"/>
                <w:color w:val="000000"/>
                <w:sz w:val="20"/>
              </w:rPr>
              <w:t xml:space="preserve">                  9,275 </w:t>
            </w:r>
          </w:p>
        </w:tc>
      </w:tr>
      <w:tr w:rsidR="00EF7564" w:rsidRPr="00810477" w14:paraId="25DCD508" w14:textId="77777777" w:rsidTr="00BE5BE5">
        <w:trPr>
          <w:trHeight w:val="259"/>
        </w:trPr>
        <w:tc>
          <w:tcPr>
            <w:tcW w:w="2455" w:type="dxa"/>
            <w:shd w:val="solid" w:color="FFFFFF" w:fill="auto"/>
            <w:vAlign w:val="center"/>
          </w:tcPr>
          <w:p w14:paraId="135FE3B8" w14:textId="77777777" w:rsidR="00EF7564" w:rsidRPr="00810477" w:rsidRDefault="00EF7564" w:rsidP="00EF7564">
            <w:pPr>
              <w:autoSpaceDE w:val="0"/>
              <w:autoSpaceDN w:val="0"/>
              <w:adjustRightInd w:val="0"/>
              <w:rPr>
                <w:rFonts w:ascii="Arial" w:hAnsi="Arial" w:cs="Arial"/>
                <w:sz w:val="20"/>
                <w:lang w:eastAsia="en-GB"/>
              </w:rPr>
            </w:pPr>
            <w:r w:rsidRPr="00810477">
              <w:rPr>
                <w:rFonts w:ascii="Arial" w:hAnsi="Arial" w:cs="Arial"/>
                <w:sz w:val="20"/>
                <w:lang w:eastAsia="en-GB"/>
              </w:rPr>
              <w:t>Powys</w:t>
            </w:r>
          </w:p>
        </w:tc>
        <w:tc>
          <w:tcPr>
            <w:tcW w:w="1805" w:type="dxa"/>
            <w:shd w:val="solid" w:color="FFFFFF" w:fill="auto"/>
            <w:vAlign w:val="bottom"/>
          </w:tcPr>
          <w:p w14:paraId="52CD8FA3" w14:textId="45ED136F" w:rsidR="00EF7564" w:rsidRPr="00810477" w:rsidRDefault="00EF7564" w:rsidP="00EF7564">
            <w:pPr>
              <w:autoSpaceDE w:val="0"/>
              <w:autoSpaceDN w:val="0"/>
              <w:adjustRightInd w:val="0"/>
              <w:jc w:val="right"/>
              <w:rPr>
                <w:rFonts w:ascii="Arial" w:hAnsi="Arial" w:cs="Arial"/>
                <w:sz w:val="20"/>
                <w:lang w:eastAsia="en-GB"/>
              </w:rPr>
            </w:pPr>
            <w:r>
              <w:rPr>
                <w:rFonts w:ascii="Arial" w:hAnsi="Arial" w:cs="Arial"/>
                <w:color w:val="000000"/>
                <w:sz w:val="20"/>
              </w:rPr>
              <w:t>192,088</w:t>
            </w:r>
          </w:p>
        </w:tc>
        <w:tc>
          <w:tcPr>
            <w:tcW w:w="1805" w:type="dxa"/>
            <w:shd w:val="solid" w:color="FFFFFF" w:fill="auto"/>
            <w:vAlign w:val="bottom"/>
          </w:tcPr>
          <w:p w14:paraId="772285DA" w14:textId="2963891E" w:rsidR="00EF7564" w:rsidRPr="00810477" w:rsidRDefault="00EF7564" w:rsidP="00EF7564">
            <w:pPr>
              <w:autoSpaceDE w:val="0"/>
              <w:autoSpaceDN w:val="0"/>
              <w:adjustRightInd w:val="0"/>
              <w:jc w:val="right"/>
              <w:rPr>
                <w:rFonts w:ascii="Arial" w:hAnsi="Arial" w:cs="Arial"/>
                <w:sz w:val="20"/>
                <w:lang w:eastAsia="en-GB"/>
              </w:rPr>
            </w:pPr>
            <w:r>
              <w:rPr>
                <w:rFonts w:ascii="Arial" w:hAnsi="Arial" w:cs="Arial"/>
                <w:color w:val="000000"/>
                <w:sz w:val="20"/>
              </w:rPr>
              <w:t>210,261</w:t>
            </w:r>
          </w:p>
        </w:tc>
        <w:tc>
          <w:tcPr>
            <w:tcW w:w="1806" w:type="dxa"/>
            <w:shd w:val="solid" w:color="FFFFFF" w:fill="auto"/>
            <w:vAlign w:val="bottom"/>
          </w:tcPr>
          <w:p w14:paraId="03A5A3B4" w14:textId="6D6EDAA2" w:rsidR="00EF7564" w:rsidRPr="00810477" w:rsidRDefault="00EF7564" w:rsidP="00EF7564">
            <w:pPr>
              <w:autoSpaceDE w:val="0"/>
              <w:autoSpaceDN w:val="0"/>
              <w:adjustRightInd w:val="0"/>
              <w:jc w:val="right"/>
              <w:rPr>
                <w:rFonts w:ascii="Arial" w:hAnsi="Arial" w:cs="Arial"/>
                <w:sz w:val="20"/>
                <w:lang w:eastAsia="en-GB"/>
              </w:rPr>
            </w:pPr>
            <w:r>
              <w:rPr>
                <w:rFonts w:ascii="Arial" w:hAnsi="Arial" w:cs="Arial"/>
                <w:color w:val="000000"/>
                <w:sz w:val="20"/>
              </w:rPr>
              <w:t>9.5%</w:t>
            </w:r>
          </w:p>
        </w:tc>
        <w:tc>
          <w:tcPr>
            <w:tcW w:w="1805" w:type="dxa"/>
            <w:shd w:val="solid" w:color="FFFFFF" w:fill="auto"/>
            <w:vAlign w:val="bottom"/>
          </w:tcPr>
          <w:p w14:paraId="1D2ADF58" w14:textId="219FC7F2" w:rsidR="00EF7564" w:rsidRPr="00810477" w:rsidRDefault="00EF7564" w:rsidP="00EF7564">
            <w:pPr>
              <w:autoSpaceDE w:val="0"/>
              <w:autoSpaceDN w:val="0"/>
              <w:adjustRightInd w:val="0"/>
              <w:jc w:val="right"/>
              <w:rPr>
                <w:rFonts w:ascii="Arial" w:hAnsi="Arial" w:cs="Arial"/>
                <w:sz w:val="20"/>
                <w:lang w:eastAsia="en-GB"/>
              </w:rPr>
            </w:pPr>
            <w:r>
              <w:rPr>
                <w:rFonts w:ascii="Arial" w:hAnsi="Arial" w:cs="Arial"/>
                <w:color w:val="000000"/>
                <w:sz w:val="20"/>
              </w:rPr>
              <w:t>6</w:t>
            </w:r>
          </w:p>
        </w:tc>
        <w:tc>
          <w:tcPr>
            <w:tcW w:w="1806" w:type="dxa"/>
            <w:shd w:val="solid" w:color="FFFFFF" w:fill="auto"/>
            <w:vAlign w:val="bottom"/>
          </w:tcPr>
          <w:p w14:paraId="3E24D3C4" w14:textId="315BE508" w:rsidR="00EF7564" w:rsidRPr="00810477" w:rsidRDefault="00EF7564" w:rsidP="00EF7564">
            <w:pPr>
              <w:autoSpaceDE w:val="0"/>
              <w:autoSpaceDN w:val="0"/>
              <w:adjustRightInd w:val="0"/>
              <w:jc w:val="right"/>
              <w:rPr>
                <w:rFonts w:ascii="Arial" w:hAnsi="Arial" w:cs="Arial"/>
                <w:sz w:val="20"/>
                <w:lang w:eastAsia="en-GB"/>
              </w:rPr>
            </w:pPr>
            <w:r>
              <w:rPr>
                <w:rFonts w:ascii="Arial" w:hAnsi="Arial" w:cs="Arial"/>
                <w:color w:val="000000"/>
                <w:sz w:val="20"/>
              </w:rPr>
              <w:t xml:space="preserve">                  8,978 </w:t>
            </w:r>
          </w:p>
        </w:tc>
      </w:tr>
      <w:tr w:rsidR="00EF7564" w:rsidRPr="00810477" w14:paraId="09FC409A" w14:textId="77777777" w:rsidTr="00BE5BE5">
        <w:trPr>
          <w:trHeight w:val="259"/>
        </w:trPr>
        <w:tc>
          <w:tcPr>
            <w:tcW w:w="2455" w:type="dxa"/>
            <w:shd w:val="solid" w:color="FFFFFF" w:fill="auto"/>
            <w:vAlign w:val="center"/>
          </w:tcPr>
          <w:p w14:paraId="23E54AAE" w14:textId="77777777" w:rsidR="00EF7564" w:rsidRPr="00810477" w:rsidRDefault="00EF7564" w:rsidP="00EF7564">
            <w:pPr>
              <w:autoSpaceDE w:val="0"/>
              <w:autoSpaceDN w:val="0"/>
              <w:adjustRightInd w:val="0"/>
              <w:rPr>
                <w:rFonts w:ascii="Arial" w:hAnsi="Arial" w:cs="Arial"/>
                <w:sz w:val="20"/>
                <w:lang w:eastAsia="en-GB"/>
              </w:rPr>
            </w:pPr>
            <w:r w:rsidRPr="00810477">
              <w:rPr>
                <w:rFonts w:ascii="Arial" w:hAnsi="Arial" w:cs="Arial"/>
                <w:sz w:val="20"/>
                <w:lang w:eastAsia="en-GB"/>
              </w:rPr>
              <w:t>Ceredigion</w:t>
            </w:r>
          </w:p>
        </w:tc>
        <w:tc>
          <w:tcPr>
            <w:tcW w:w="1805" w:type="dxa"/>
            <w:shd w:val="solid" w:color="FFFFFF" w:fill="auto"/>
            <w:vAlign w:val="bottom"/>
          </w:tcPr>
          <w:p w14:paraId="6AC52602" w14:textId="72F6F5EC" w:rsidR="00EF7564" w:rsidRPr="00810477" w:rsidRDefault="00EF7564" w:rsidP="00EF7564">
            <w:pPr>
              <w:autoSpaceDE w:val="0"/>
              <w:autoSpaceDN w:val="0"/>
              <w:adjustRightInd w:val="0"/>
              <w:jc w:val="right"/>
              <w:rPr>
                <w:rFonts w:ascii="Arial" w:hAnsi="Arial" w:cs="Arial"/>
                <w:sz w:val="20"/>
                <w:lang w:eastAsia="en-GB"/>
              </w:rPr>
            </w:pPr>
            <w:r>
              <w:rPr>
                <w:rFonts w:ascii="Arial" w:hAnsi="Arial" w:cs="Arial"/>
                <w:color w:val="000000"/>
                <w:sz w:val="20"/>
              </w:rPr>
              <w:t>110,006</w:t>
            </w:r>
          </w:p>
        </w:tc>
        <w:tc>
          <w:tcPr>
            <w:tcW w:w="1805" w:type="dxa"/>
            <w:shd w:val="solid" w:color="FFFFFF" w:fill="auto"/>
            <w:vAlign w:val="bottom"/>
          </w:tcPr>
          <w:p w14:paraId="4CB1A79D" w14:textId="3109246D" w:rsidR="00EF7564" w:rsidRPr="00810477" w:rsidRDefault="00EF7564" w:rsidP="00EF7564">
            <w:pPr>
              <w:autoSpaceDE w:val="0"/>
              <w:autoSpaceDN w:val="0"/>
              <w:adjustRightInd w:val="0"/>
              <w:jc w:val="right"/>
              <w:rPr>
                <w:rFonts w:ascii="Arial" w:hAnsi="Arial" w:cs="Arial"/>
                <w:sz w:val="20"/>
                <w:lang w:eastAsia="en-GB"/>
              </w:rPr>
            </w:pPr>
            <w:r>
              <w:rPr>
                <w:rFonts w:ascii="Arial" w:hAnsi="Arial" w:cs="Arial"/>
                <w:color w:val="000000"/>
                <w:sz w:val="20"/>
              </w:rPr>
              <w:t>119,421</w:t>
            </w:r>
          </w:p>
        </w:tc>
        <w:tc>
          <w:tcPr>
            <w:tcW w:w="1806" w:type="dxa"/>
            <w:shd w:val="solid" w:color="FFFFFF" w:fill="auto"/>
            <w:vAlign w:val="bottom"/>
          </w:tcPr>
          <w:p w14:paraId="5480D829" w14:textId="6630A1A9" w:rsidR="00EF7564" w:rsidRPr="00810477" w:rsidRDefault="00EF7564" w:rsidP="00EF7564">
            <w:pPr>
              <w:autoSpaceDE w:val="0"/>
              <w:autoSpaceDN w:val="0"/>
              <w:adjustRightInd w:val="0"/>
              <w:jc w:val="right"/>
              <w:rPr>
                <w:rFonts w:ascii="Arial" w:hAnsi="Arial" w:cs="Arial"/>
                <w:sz w:val="20"/>
                <w:lang w:eastAsia="en-GB"/>
              </w:rPr>
            </w:pPr>
            <w:r>
              <w:rPr>
                <w:rFonts w:ascii="Arial" w:hAnsi="Arial" w:cs="Arial"/>
                <w:color w:val="000000"/>
                <w:sz w:val="20"/>
              </w:rPr>
              <w:t>8.6%</w:t>
            </w:r>
          </w:p>
        </w:tc>
        <w:tc>
          <w:tcPr>
            <w:tcW w:w="1805" w:type="dxa"/>
            <w:shd w:val="solid" w:color="FFFFFF" w:fill="auto"/>
            <w:vAlign w:val="bottom"/>
          </w:tcPr>
          <w:p w14:paraId="6572E44D" w14:textId="19186388" w:rsidR="00EF7564" w:rsidRPr="00810477" w:rsidRDefault="00EF7564" w:rsidP="00EF7564">
            <w:pPr>
              <w:autoSpaceDE w:val="0"/>
              <w:autoSpaceDN w:val="0"/>
              <w:adjustRightInd w:val="0"/>
              <w:jc w:val="right"/>
              <w:rPr>
                <w:rFonts w:ascii="Arial" w:hAnsi="Arial" w:cs="Arial"/>
                <w:sz w:val="20"/>
                <w:lang w:eastAsia="en-GB"/>
              </w:rPr>
            </w:pPr>
            <w:r>
              <w:rPr>
                <w:rFonts w:ascii="Arial" w:hAnsi="Arial" w:cs="Arial"/>
                <w:color w:val="000000"/>
                <w:sz w:val="20"/>
              </w:rPr>
              <w:t>19</w:t>
            </w:r>
          </w:p>
        </w:tc>
        <w:tc>
          <w:tcPr>
            <w:tcW w:w="1806" w:type="dxa"/>
            <w:shd w:val="solid" w:color="FFFFFF" w:fill="auto"/>
            <w:vAlign w:val="bottom"/>
          </w:tcPr>
          <w:p w14:paraId="292BA240" w14:textId="7877833D" w:rsidR="00EF7564" w:rsidRPr="00810477" w:rsidRDefault="00EF7564" w:rsidP="00EF7564">
            <w:pPr>
              <w:autoSpaceDE w:val="0"/>
              <w:autoSpaceDN w:val="0"/>
              <w:adjustRightInd w:val="0"/>
              <w:jc w:val="right"/>
              <w:rPr>
                <w:rFonts w:ascii="Arial" w:hAnsi="Arial" w:cs="Arial"/>
                <w:sz w:val="20"/>
                <w:lang w:eastAsia="en-GB"/>
              </w:rPr>
            </w:pPr>
            <w:r>
              <w:rPr>
                <w:rFonts w:ascii="Arial" w:hAnsi="Arial" w:cs="Arial"/>
                <w:color w:val="000000"/>
                <w:sz w:val="20"/>
              </w:rPr>
              <w:t xml:space="preserve">                  5,126 </w:t>
            </w:r>
          </w:p>
        </w:tc>
      </w:tr>
      <w:tr w:rsidR="00EF7564" w:rsidRPr="00810477" w14:paraId="4BB5ABEA" w14:textId="77777777" w:rsidTr="00BE5BE5">
        <w:trPr>
          <w:trHeight w:val="259"/>
        </w:trPr>
        <w:tc>
          <w:tcPr>
            <w:tcW w:w="2455" w:type="dxa"/>
            <w:shd w:val="solid" w:color="FFFFFF" w:fill="auto"/>
            <w:vAlign w:val="center"/>
          </w:tcPr>
          <w:p w14:paraId="2D471522" w14:textId="77777777" w:rsidR="00EF7564" w:rsidRPr="00810477" w:rsidRDefault="00EF7564" w:rsidP="00EF7564">
            <w:pPr>
              <w:autoSpaceDE w:val="0"/>
              <w:autoSpaceDN w:val="0"/>
              <w:adjustRightInd w:val="0"/>
              <w:rPr>
                <w:rFonts w:ascii="Arial" w:hAnsi="Arial" w:cs="Arial"/>
                <w:sz w:val="20"/>
                <w:lang w:eastAsia="en-GB"/>
              </w:rPr>
            </w:pPr>
            <w:r w:rsidRPr="00810477">
              <w:rPr>
                <w:rFonts w:ascii="Arial" w:hAnsi="Arial" w:cs="Arial"/>
                <w:sz w:val="20"/>
                <w:lang w:eastAsia="en-GB"/>
              </w:rPr>
              <w:t>Pembrokeshire</w:t>
            </w:r>
          </w:p>
        </w:tc>
        <w:tc>
          <w:tcPr>
            <w:tcW w:w="1805" w:type="dxa"/>
            <w:shd w:val="solid" w:color="FFFFFF" w:fill="auto"/>
            <w:vAlign w:val="bottom"/>
          </w:tcPr>
          <w:p w14:paraId="4CFDCEA9" w14:textId="0BB9AA8A" w:rsidR="00EF7564" w:rsidRPr="00810477" w:rsidRDefault="00EF7564" w:rsidP="00EF7564">
            <w:pPr>
              <w:autoSpaceDE w:val="0"/>
              <w:autoSpaceDN w:val="0"/>
              <w:adjustRightInd w:val="0"/>
              <w:jc w:val="right"/>
              <w:rPr>
                <w:rFonts w:ascii="Arial" w:hAnsi="Arial" w:cs="Arial"/>
                <w:sz w:val="20"/>
                <w:lang w:eastAsia="en-GB"/>
              </w:rPr>
            </w:pPr>
            <w:r>
              <w:rPr>
                <w:rFonts w:ascii="Arial" w:hAnsi="Arial" w:cs="Arial"/>
                <w:color w:val="000000"/>
                <w:sz w:val="20"/>
              </w:rPr>
              <w:t>179,422</w:t>
            </w:r>
          </w:p>
        </w:tc>
        <w:tc>
          <w:tcPr>
            <w:tcW w:w="1805" w:type="dxa"/>
            <w:shd w:val="solid" w:color="FFFFFF" w:fill="auto"/>
            <w:vAlign w:val="bottom"/>
          </w:tcPr>
          <w:p w14:paraId="34BBDE0F" w14:textId="640301E9" w:rsidR="00EF7564" w:rsidRPr="00810477" w:rsidRDefault="00EF7564" w:rsidP="00EF7564">
            <w:pPr>
              <w:autoSpaceDE w:val="0"/>
              <w:autoSpaceDN w:val="0"/>
              <w:adjustRightInd w:val="0"/>
              <w:jc w:val="right"/>
              <w:rPr>
                <w:rFonts w:ascii="Arial" w:hAnsi="Arial" w:cs="Arial"/>
                <w:sz w:val="20"/>
                <w:lang w:eastAsia="en-GB"/>
              </w:rPr>
            </w:pPr>
            <w:r>
              <w:rPr>
                <w:rFonts w:ascii="Arial" w:hAnsi="Arial" w:cs="Arial"/>
                <w:color w:val="000000"/>
                <w:sz w:val="20"/>
              </w:rPr>
              <w:t>196,257</w:t>
            </w:r>
          </w:p>
        </w:tc>
        <w:tc>
          <w:tcPr>
            <w:tcW w:w="1806" w:type="dxa"/>
            <w:shd w:val="solid" w:color="FFFFFF" w:fill="auto"/>
            <w:vAlign w:val="bottom"/>
          </w:tcPr>
          <w:p w14:paraId="68EDD459" w14:textId="66E997BB" w:rsidR="00EF7564" w:rsidRPr="00810477" w:rsidRDefault="00EF7564" w:rsidP="00EF7564">
            <w:pPr>
              <w:autoSpaceDE w:val="0"/>
              <w:autoSpaceDN w:val="0"/>
              <w:adjustRightInd w:val="0"/>
              <w:jc w:val="right"/>
              <w:rPr>
                <w:rFonts w:ascii="Arial" w:hAnsi="Arial" w:cs="Arial"/>
                <w:sz w:val="20"/>
                <w:lang w:eastAsia="en-GB"/>
              </w:rPr>
            </w:pPr>
            <w:r>
              <w:rPr>
                <w:rFonts w:ascii="Arial" w:hAnsi="Arial" w:cs="Arial"/>
                <w:color w:val="000000"/>
                <w:sz w:val="20"/>
              </w:rPr>
              <w:t>9.4%</w:t>
            </w:r>
          </w:p>
        </w:tc>
        <w:tc>
          <w:tcPr>
            <w:tcW w:w="1805" w:type="dxa"/>
            <w:shd w:val="solid" w:color="FFFFFF" w:fill="auto"/>
            <w:vAlign w:val="bottom"/>
          </w:tcPr>
          <w:p w14:paraId="7CA57A41" w14:textId="756700BB" w:rsidR="00EF7564" w:rsidRPr="00810477" w:rsidRDefault="00EF7564" w:rsidP="00EF7564">
            <w:pPr>
              <w:autoSpaceDE w:val="0"/>
              <w:autoSpaceDN w:val="0"/>
              <w:adjustRightInd w:val="0"/>
              <w:jc w:val="right"/>
              <w:rPr>
                <w:rFonts w:ascii="Arial" w:hAnsi="Arial" w:cs="Arial"/>
                <w:sz w:val="20"/>
                <w:lang w:eastAsia="en-GB"/>
              </w:rPr>
            </w:pPr>
            <w:r>
              <w:rPr>
                <w:rFonts w:ascii="Arial" w:hAnsi="Arial" w:cs="Arial"/>
                <w:color w:val="000000"/>
                <w:sz w:val="20"/>
              </w:rPr>
              <w:t>8</w:t>
            </w:r>
          </w:p>
        </w:tc>
        <w:tc>
          <w:tcPr>
            <w:tcW w:w="1806" w:type="dxa"/>
            <w:shd w:val="solid" w:color="FFFFFF" w:fill="auto"/>
            <w:vAlign w:val="bottom"/>
          </w:tcPr>
          <w:p w14:paraId="60C39EF3" w14:textId="47D46A15" w:rsidR="00EF7564" w:rsidRPr="00810477" w:rsidRDefault="00EF7564" w:rsidP="00EF7564">
            <w:pPr>
              <w:autoSpaceDE w:val="0"/>
              <w:autoSpaceDN w:val="0"/>
              <w:adjustRightInd w:val="0"/>
              <w:jc w:val="right"/>
              <w:rPr>
                <w:rFonts w:ascii="Arial" w:hAnsi="Arial" w:cs="Arial"/>
                <w:sz w:val="20"/>
                <w:lang w:eastAsia="en-GB"/>
              </w:rPr>
            </w:pPr>
            <w:r>
              <w:rPr>
                <w:rFonts w:ascii="Arial" w:hAnsi="Arial" w:cs="Arial"/>
                <w:color w:val="000000"/>
                <w:sz w:val="20"/>
              </w:rPr>
              <w:t xml:space="preserve">                  8,180 </w:t>
            </w:r>
          </w:p>
        </w:tc>
      </w:tr>
      <w:tr w:rsidR="00EF7564" w:rsidRPr="00810477" w14:paraId="707B0857" w14:textId="77777777" w:rsidTr="00BE5BE5">
        <w:trPr>
          <w:trHeight w:val="259"/>
        </w:trPr>
        <w:tc>
          <w:tcPr>
            <w:tcW w:w="2455" w:type="dxa"/>
            <w:shd w:val="solid" w:color="FFFFFF" w:fill="auto"/>
            <w:vAlign w:val="center"/>
          </w:tcPr>
          <w:p w14:paraId="13910F78" w14:textId="77777777" w:rsidR="00EF7564" w:rsidRPr="00810477" w:rsidRDefault="00EF7564" w:rsidP="00EF7564">
            <w:pPr>
              <w:autoSpaceDE w:val="0"/>
              <w:autoSpaceDN w:val="0"/>
              <w:adjustRightInd w:val="0"/>
              <w:rPr>
                <w:rFonts w:ascii="Arial" w:hAnsi="Arial" w:cs="Arial"/>
                <w:sz w:val="20"/>
                <w:lang w:eastAsia="en-GB"/>
              </w:rPr>
            </w:pPr>
            <w:r w:rsidRPr="00810477">
              <w:rPr>
                <w:rFonts w:ascii="Arial" w:hAnsi="Arial" w:cs="Arial"/>
                <w:sz w:val="20"/>
                <w:lang w:eastAsia="en-GB"/>
              </w:rPr>
              <w:t>Carmarthenshire</w:t>
            </w:r>
          </w:p>
        </w:tc>
        <w:tc>
          <w:tcPr>
            <w:tcW w:w="1805" w:type="dxa"/>
            <w:shd w:val="solid" w:color="FFFFFF" w:fill="auto"/>
            <w:vAlign w:val="bottom"/>
          </w:tcPr>
          <w:p w14:paraId="2B82830E" w14:textId="0AECA713" w:rsidR="00EF7564" w:rsidRPr="00810477" w:rsidRDefault="00EF7564" w:rsidP="00EF7564">
            <w:pPr>
              <w:autoSpaceDE w:val="0"/>
              <w:autoSpaceDN w:val="0"/>
              <w:adjustRightInd w:val="0"/>
              <w:jc w:val="right"/>
              <w:rPr>
                <w:rFonts w:ascii="Arial" w:hAnsi="Arial" w:cs="Arial"/>
                <w:sz w:val="20"/>
                <w:lang w:eastAsia="en-GB"/>
              </w:rPr>
            </w:pPr>
            <w:r>
              <w:rPr>
                <w:rFonts w:ascii="Arial" w:hAnsi="Arial" w:cs="Arial"/>
                <w:color w:val="000000"/>
                <w:sz w:val="20"/>
              </w:rPr>
              <w:t>285,262</w:t>
            </w:r>
          </w:p>
        </w:tc>
        <w:tc>
          <w:tcPr>
            <w:tcW w:w="1805" w:type="dxa"/>
            <w:shd w:val="solid" w:color="FFFFFF" w:fill="auto"/>
            <w:vAlign w:val="bottom"/>
          </w:tcPr>
          <w:p w14:paraId="05CE9A06" w14:textId="13E8F2D6" w:rsidR="00EF7564" w:rsidRPr="00810477" w:rsidRDefault="00EF7564" w:rsidP="00EF7564">
            <w:pPr>
              <w:autoSpaceDE w:val="0"/>
              <w:autoSpaceDN w:val="0"/>
              <w:adjustRightInd w:val="0"/>
              <w:jc w:val="right"/>
              <w:rPr>
                <w:rFonts w:ascii="Arial" w:hAnsi="Arial" w:cs="Arial"/>
                <w:sz w:val="20"/>
                <w:lang w:eastAsia="en-GB"/>
              </w:rPr>
            </w:pPr>
            <w:r>
              <w:rPr>
                <w:rFonts w:ascii="Arial" w:hAnsi="Arial" w:cs="Arial"/>
                <w:color w:val="000000"/>
                <w:sz w:val="20"/>
              </w:rPr>
              <w:t>311,603</w:t>
            </w:r>
          </w:p>
        </w:tc>
        <w:tc>
          <w:tcPr>
            <w:tcW w:w="1806" w:type="dxa"/>
            <w:shd w:val="solid" w:color="FFFFFF" w:fill="auto"/>
            <w:vAlign w:val="bottom"/>
          </w:tcPr>
          <w:p w14:paraId="733960BB" w14:textId="7886A6FD" w:rsidR="00EF7564" w:rsidRPr="00810477" w:rsidRDefault="00EF7564" w:rsidP="00EF7564">
            <w:pPr>
              <w:autoSpaceDE w:val="0"/>
              <w:autoSpaceDN w:val="0"/>
              <w:adjustRightInd w:val="0"/>
              <w:jc w:val="right"/>
              <w:rPr>
                <w:rFonts w:ascii="Arial" w:hAnsi="Arial" w:cs="Arial"/>
                <w:sz w:val="20"/>
                <w:lang w:eastAsia="en-GB"/>
              </w:rPr>
            </w:pPr>
            <w:r>
              <w:rPr>
                <w:rFonts w:ascii="Arial" w:hAnsi="Arial" w:cs="Arial"/>
                <w:color w:val="000000"/>
                <w:sz w:val="20"/>
              </w:rPr>
              <w:t>9.2%</w:t>
            </w:r>
          </w:p>
        </w:tc>
        <w:tc>
          <w:tcPr>
            <w:tcW w:w="1805" w:type="dxa"/>
            <w:shd w:val="solid" w:color="FFFFFF" w:fill="auto"/>
            <w:vAlign w:val="bottom"/>
          </w:tcPr>
          <w:p w14:paraId="035C6361" w14:textId="47468F46" w:rsidR="00EF7564" w:rsidRPr="00810477" w:rsidRDefault="00EF7564" w:rsidP="00EF7564">
            <w:pPr>
              <w:autoSpaceDE w:val="0"/>
              <w:autoSpaceDN w:val="0"/>
              <w:adjustRightInd w:val="0"/>
              <w:jc w:val="right"/>
              <w:rPr>
                <w:rFonts w:ascii="Arial" w:hAnsi="Arial" w:cs="Arial"/>
                <w:sz w:val="20"/>
                <w:lang w:eastAsia="en-GB"/>
              </w:rPr>
            </w:pPr>
            <w:r>
              <w:rPr>
                <w:rFonts w:ascii="Arial" w:hAnsi="Arial" w:cs="Arial"/>
                <w:color w:val="000000"/>
                <w:sz w:val="20"/>
              </w:rPr>
              <w:t>11</w:t>
            </w:r>
          </w:p>
        </w:tc>
        <w:tc>
          <w:tcPr>
            <w:tcW w:w="1806" w:type="dxa"/>
            <w:shd w:val="solid" w:color="FFFFFF" w:fill="auto"/>
            <w:vAlign w:val="bottom"/>
          </w:tcPr>
          <w:p w14:paraId="360B7457" w14:textId="20C5A841" w:rsidR="00EF7564" w:rsidRPr="00810477" w:rsidRDefault="00EF7564" w:rsidP="00EF7564">
            <w:pPr>
              <w:autoSpaceDE w:val="0"/>
              <w:autoSpaceDN w:val="0"/>
              <w:adjustRightInd w:val="0"/>
              <w:jc w:val="right"/>
              <w:rPr>
                <w:rFonts w:ascii="Arial" w:hAnsi="Arial" w:cs="Arial"/>
                <w:sz w:val="20"/>
                <w:lang w:eastAsia="en-GB"/>
              </w:rPr>
            </w:pPr>
            <w:r>
              <w:rPr>
                <w:rFonts w:ascii="Arial" w:hAnsi="Arial" w:cs="Arial"/>
                <w:color w:val="000000"/>
                <w:sz w:val="20"/>
              </w:rPr>
              <w:t xml:space="preserve">                 14,006 </w:t>
            </w:r>
          </w:p>
        </w:tc>
      </w:tr>
      <w:tr w:rsidR="00EF7564" w:rsidRPr="00810477" w14:paraId="30D8E4E7" w14:textId="77777777" w:rsidTr="00BE5BE5">
        <w:trPr>
          <w:trHeight w:val="259"/>
        </w:trPr>
        <w:tc>
          <w:tcPr>
            <w:tcW w:w="2455" w:type="dxa"/>
            <w:shd w:val="solid" w:color="FFFFFF" w:fill="auto"/>
            <w:vAlign w:val="center"/>
          </w:tcPr>
          <w:p w14:paraId="3AFBF089" w14:textId="77777777" w:rsidR="00EF7564" w:rsidRPr="00810477" w:rsidRDefault="00EF7564" w:rsidP="00EF7564">
            <w:pPr>
              <w:autoSpaceDE w:val="0"/>
              <w:autoSpaceDN w:val="0"/>
              <w:adjustRightInd w:val="0"/>
              <w:rPr>
                <w:rFonts w:ascii="Arial" w:hAnsi="Arial" w:cs="Arial"/>
                <w:sz w:val="20"/>
                <w:lang w:eastAsia="en-GB"/>
              </w:rPr>
            </w:pPr>
            <w:r w:rsidRPr="00810477">
              <w:rPr>
                <w:rFonts w:ascii="Arial" w:hAnsi="Arial" w:cs="Arial"/>
                <w:sz w:val="20"/>
                <w:lang w:eastAsia="en-GB"/>
              </w:rPr>
              <w:t>Swansea</w:t>
            </w:r>
          </w:p>
        </w:tc>
        <w:tc>
          <w:tcPr>
            <w:tcW w:w="1805" w:type="dxa"/>
            <w:shd w:val="solid" w:color="FFFFFF" w:fill="auto"/>
            <w:vAlign w:val="bottom"/>
          </w:tcPr>
          <w:p w14:paraId="48F4F300" w14:textId="25A5B341" w:rsidR="00EF7564" w:rsidRPr="00810477" w:rsidRDefault="00EF7564" w:rsidP="00EF7564">
            <w:pPr>
              <w:autoSpaceDE w:val="0"/>
              <w:autoSpaceDN w:val="0"/>
              <w:adjustRightInd w:val="0"/>
              <w:jc w:val="right"/>
              <w:rPr>
                <w:rFonts w:ascii="Arial" w:hAnsi="Arial" w:cs="Arial"/>
                <w:sz w:val="20"/>
                <w:lang w:eastAsia="en-GB"/>
              </w:rPr>
            </w:pPr>
            <w:r>
              <w:rPr>
                <w:rFonts w:ascii="Arial" w:hAnsi="Arial" w:cs="Arial"/>
                <w:color w:val="000000"/>
                <w:sz w:val="20"/>
              </w:rPr>
              <w:t>353,571</w:t>
            </w:r>
          </w:p>
        </w:tc>
        <w:tc>
          <w:tcPr>
            <w:tcW w:w="1805" w:type="dxa"/>
            <w:shd w:val="solid" w:color="FFFFFF" w:fill="auto"/>
            <w:vAlign w:val="bottom"/>
          </w:tcPr>
          <w:p w14:paraId="227AF8CC" w14:textId="4C5A2FAB" w:rsidR="00EF7564" w:rsidRPr="00810477" w:rsidRDefault="00EF7564" w:rsidP="00EF7564">
            <w:pPr>
              <w:autoSpaceDE w:val="0"/>
              <w:autoSpaceDN w:val="0"/>
              <w:adjustRightInd w:val="0"/>
              <w:jc w:val="right"/>
              <w:rPr>
                <w:rFonts w:ascii="Arial" w:hAnsi="Arial" w:cs="Arial"/>
                <w:sz w:val="20"/>
                <w:lang w:eastAsia="en-GB"/>
              </w:rPr>
            </w:pPr>
            <w:r>
              <w:rPr>
                <w:rFonts w:ascii="Arial" w:hAnsi="Arial" w:cs="Arial"/>
                <w:color w:val="000000"/>
                <w:sz w:val="20"/>
              </w:rPr>
              <w:t>386,592</w:t>
            </w:r>
          </w:p>
        </w:tc>
        <w:tc>
          <w:tcPr>
            <w:tcW w:w="1806" w:type="dxa"/>
            <w:shd w:val="solid" w:color="FFFFFF" w:fill="auto"/>
            <w:vAlign w:val="bottom"/>
          </w:tcPr>
          <w:p w14:paraId="4BD4D41D" w14:textId="710DF135" w:rsidR="00EF7564" w:rsidRPr="00810477" w:rsidRDefault="00EF7564" w:rsidP="00EF7564">
            <w:pPr>
              <w:autoSpaceDE w:val="0"/>
              <w:autoSpaceDN w:val="0"/>
              <w:adjustRightInd w:val="0"/>
              <w:jc w:val="right"/>
              <w:rPr>
                <w:rFonts w:ascii="Arial" w:hAnsi="Arial" w:cs="Arial"/>
                <w:sz w:val="20"/>
                <w:lang w:eastAsia="en-GB"/>
              </w:rPr>
            </w:pPr>
            <w:r>
              <w:rPr>
                <w:rFonts w:ascii="Arial" w:hAnsi="Arial" w:cs="Arial"/>
                <w:color w:val="000000"/>
                <w:sz w:val="20"/>
              </w:rPr>
              <w:t>9.3%</w:t>
            </w:r>
          </w:p>
        </w:tc>
        <w:tc>
          <w:tcPr>
            <w:tcW w:w="1805" w:type="dxa"/>
            <w:shd w:val="solid" w:color="FFFFFF" w:fill="auto"/>
            <w:vAlign w:val="bottom"/>
          </w:tcPr>
          <w:p w14:paraId="531481AD" w14:textId="293B61D1" w:rsidR="00EF7564" w:rsidRPr="00810477" w:rsidRDefault="00EF7564" w:rsidP="00EF7564">
            <w:pPr>
              <w:autoSpaceDE w:val="0"/>
              <w:autoSpaceDN w:val="0"/>
              <w:adjustRightInd w:val="0"/>
              <w:jc w:val="right"/>
              <w:rPr>
                <w:rFonts w:ascii="Arial" w:hAnsi="Arial" w:cs="Arial"/>
                <w:sz w:val="20"/>
                <w:lang w:eastAsia="en-GB"/>
              </w:rPr>
            </w:pPr>
            <w:r>
              <w:rPr>
                <w:rFonts w:ascii="Arial" w:hAnsi="Arial" w:cs="Arial"/>
                <w:color w:val="000000"/>
                <w:sz w:val="20"/>
              </w:rPr>
              <w:t>9</w:t>
            </w:r>
          </w:p>
        </w:tc>
        <w:tc>
          <w:tcPr>
            <w:tcW w:w="1806" w:type="dxa"/>
            <w:shd w:val="solid" w:color="FFFFFF" w:fill="auto"/>
            <w:vAlign w:val="bottom"/>
          </w:tcPr>
          <w:p w14:paraId="5A2AA3C0" w14:textId="4B71E845" w:rsidR="00EF7564" w:rsidRPr="00810477" w:rsidRDefault="00EF7564" w:rsidP="00EF7564">
            <w:pPr>
              <w:autoSpaceDE w:val="0"/>
              <w:autoSpaceDN w:val="0"/>
              <w:adjustRightInd w:val="0"/>
              <w:jc w:val="right"/>
              <w:rPr>
                <w:rFonts w:ascii="Arial" w:hAnsi="Arial" w:cs="Arial"/>
                <w:sz w:val="20"/>
                <w:lang w:eastAsia="en-GB"/>
              </w:rPr>
            </w:pPr>
            <w:r>
              <w:rPr>
                <w:rFonts w:ascii="Arial" w:hAnsi="Arial" w:cs="Arial"/>
                <w:color w:val="000000"/>
                <w:sz w:val="20"/>
              </w:rPr>
              <w:t xml:space="preserve">                 19,339 </w:t>
            </w:r>
          </w:p>
        </w:tc>
      </w:tr>
      <w:tr w:rsidR="00EF7564" w:rsidRPr="00810477" w14:paraId="48CBC065" w14:textId="77777777" w:rsidTr="00BE5BE5">
        <w:trPr>
          <w:trHeight w:val="259"/>
        </w:trPr>
        <w:tc>
          <w:tcPr>
            <w:tcW w:w="2455" w:type="dxa"/>
            <w:shd w:val="solid" w:color="FFFFFF" w:fill="auto"/>
            <w:vAlign w:val="center"/>
          </w:tcPr>
          <w:p w14:paraId="0BD237D4" w14:textId="77777777" w:rsidR="00EF7564" w:rsidRPr="00810477" w:rsidRDefault="00EF7564" w:rsidP="00EF7564">
            <w:pPr>
              <w:autoSpaceDE w:val="0"/>
              <w:autoSpaceDN w:val="0"/>
              <w:adjustRightInd w:val="0"/>
              <w:rPr>
                <w:rFonts w:ascii="Arial" w:hAnsi="Arial" w:cs="Arial"/>
                <w:sz w:val="20"/>
                <w:lang w:eastAsia="en-GB"/>
              </w:rPr>
            </w:pPr>
            <w:r w:rsidRPr="00810477">
              <w:rPr>
                <w:rFonts w:ascii="Arial" w:hAnsi="Arial" w:cs="Arial"/>
                <w:sz w:val="20"/>
                <w:lang w:eastAsia="en-GB"/>
              </w:rPr>
              <w:t>Neath Port Talbot</w:t>
            </w:r>
          </w:p>
        </w:tc>
        <w:tc>
          <w:tcPr>
            <w:tcW w:w="1805" w:type="dxa"/>
            <w:shd w:val="solid" w:color="FFFFFF" w:fill="auto"/>
            <w:vAlign w:val="bottom"/>
          </w:tcPr>
          <w:p w14:paraId="1A743B48" w14:textId="39630ED6" w:rsidR="00EF7564" w:rsidRPr="00810477" w:rsidRDefault="00EF7564" w:rsidP="00EF7564">
            <w:pPr>
              <w:autoSpaceDE w:val="0"/>
              <w:autoSpaceDN w:val="0"/>
              <w:adjustRightInd w:val="0"/>
              <w:jc w:val="right"/>
              <w:rPr>
                <w:rFonts w:ascii="Arial" w:hAnsi="Arial" w:cs="Arial"/>
                <w:sz w:val="20"/>
                <w:lang w:eastAsia="en-GB"/>
              </w:rPr>
            </w:pPr>
            <w:r>
              <w:rPr>
                <w:rFonts w:ascii="Arial" w:hAnsi="Arial" w:cs="Arial"/>
                <w:color w:val="000000"/>
                <w:sz w:val="20"/>
              </w:rPr>
              <w:t>237,289</w:t>
            </w:r>
          </w:p>
        </w:tc>
        <w:tc>
          <w:tcPr>
            <w:tcW w:w="1805" w:type="dxa"/>
            <w:shd w:val="solid" w:color="FFFFFF" w:fill="auto"/>
            <w:vAlign w:val="bottom"/>
          </w:tcPr>
          <w:p w14:paraId="412744FA" w14:textId="4641CF70" w:rsidR="00EF7564" w:rsidRPr="00810477" w:rsidRDefault="00EF7564" w:rsidP="00EF7564">
            <w:pPr>
              <w:autoSpaceDE w:val="0"/>
              <w:autoSpaceDN w:val="0"/>
              <w:adjustRightInd w:val="0"/>
              <w:jc w:val="right"/>
              <w:rPr>
                <w:rFonts w:ascii="Arial" w:hAnsi="Arial" w:cs="Arial"/>
                <w:sz w:val="20"/>
                <w:lang w:eastAsia="en-GB"/>
              </w:rPr>
            </w:pPr>
            <w:r>
              <w:rPr>
                <w:rFonts w:ascii="Arial" w:hAnsi="Arial" w:cs="Arial"/>
                <w:color w:val="000000"/>
                <w:sz w:val="20"/>
              </w:rPr>
              <w:t>258,073</w:t>
            </w:r>
          </w:p>
        </w:tc>
        <w:tc>
          <w:tcPr>
            <w:tcW w:w="1806" w:type="dxa"/>
            <w:shd w:val="solid" w:color="FFFFFF" w:fill="auto"/>
            <w:vAlign w:val="bottom"/>
          </w:tcPr>
          <w:p w14:paraId="546FA369" w14:textId="6B50C0F8" w:rsidR="00EF7564" w:rsidRPr="00810477" w:rsidRDefault="00EF7564" w:rsidP="00EF7564">
            <w:pPr>
              <w:autoSpaceDE w:val="0"/>
              <w:autoSpaceDN w:val="0"/>
              <w:adjustRightInd w:val="0"/>
              <w:jc w:val="right"/>
              <w:rPr>
                <w:rFonts w:ascii="Arial" w:hAnsi="Arial" w:cs="Arial"/>
                <w:sz w:val="20"/>
                <w:lang w:eastAsia="en-GB"/>
              </w:rPr>
            </w:pPr>
            <w:r>
              <w:rPr>
                <w:rFonts w:ascii="Arial" w:hAnsi="Arial" w:cs="Arial"/>
                <w:color w:val="000000"/>
                <w:sz w:val="20"/>
              </w:rPr>
              <w:t>8.8%</w:t>
            </w:r>
          </w:p>
        </w:tc>
        <w:tc>
          <w:tcPr>
            <w:tcW w:w="1805" w:type="dxa"/>
            <w:shd w:val="solid" w:color="FFFFFF" w:fill="auto"/>
            <w:vAlign w:val="bottom"/>
          </w:tcPr>
          <w:p w14:paraId="0A094AAF" w14:textId="1B6714D0" w:rsidR="00EF7564" w:rsidRPr="00810477" w:rsidRDefault="00EF7564" w:rsidP="00EF7564">
            <w:pPr>
              <w:autoSpaceDE w:val="0"/>
              <w:autoSpaceDN w:val="0"/>
              <w:adjustRightInd w:val="0"/>
              <w:jc w:val="right"/>
              <w:rPr>
                <w:rFonts w:ascii="Arial" w:hAnsi="Arial" w:cs="Arial"/>
                <w:sz w:val="20"/>
                <w:lang w:eastAsia="en-GB"/>
              </w:rPr>
            </w:pPr>
            <w:r>
              <w:rPr>
                <w:rFonts w:ascii="Arial" w:hAnsi="Arial" w:cs="Arial"/>
                <w:color w:val="000000"/>
                <w:sz w:val="20"/>
              </w:rPr>
              <w:t>18</w:t>
            </w:r>
          </w:p>
        </w:tc>
        <w:tc>
          <w:tcPr>
            <w:tcW w:w="1806" w:type="dxa"/>
            <w:shd w:val="solid" w:color="FFFFFF" w:fill="auto"/>
            <w:vAlign w:val="bottom"/>
          </w:tcPr>
          <w:p w14:paraId="322B78F3" w14:textId="5344AD7E" w:rsidR="00EF7564" w:rsidRPr="00810477" w:rsidRDefault="00EF7564" w:rsidP="00EF7564">
            <w:pPr>
              <w:autoSpaceDE w:val="0"/>
              <w:autoSpaceDN w:val="0"/>
              <w:adjustRightInd w:val="0"/>
              <w:jc w:val="right"/>
              <w:rPr>
                <w:rFonts w:ascii="Arial" w:hAnsi="Arial" w:cs="Arial"/>
                <w:sz w:val="20"/>
                <w:lang w:eastAsia="en-GB"/>
              </w:rPr>
            </w:pPr>
            <w:r>
              <w:rPr>
                <w:rFonts w:ascii="Arial" w:hAnsi="Arial" w:cs="Arial"/>
                <w:color w:val="000000"/>
                <w:sz w:val="20"/>
              </w:rPr>
              <w:t xml:space="preserve">                 15,955 </w:t>
            </w:r>
          </w:p>
        </w:tc>
      </w:tr>
      <w:tr w:rsidR="00EF7564" w:rsidRPr="00810477" w14:paraId="435030D6" w14:textId="77777777" w:rsidTr="00BE5BE5">
        <w:trPr>
          <w:trHeight w:val="259"/>
        </w:trPr>
        <w:tc>
          <w:tcPr>
            <w:tcW w:w="2455" w:type="dxa"/>
            <w:shd w:val="solid" w:color="FFFFFF" w:fill="auto"/>
            <w:vAlign w:val="center"/>
          </w:tcPr>
          <w:p w14:paraId="4BA0AC6C" w14:textId="77777777" w:rsidR="00EF7564" w:rsidRPr="00810477" w:rsidRDefault="00EF7564" w:rsidP="00EF7564">
            <w:pPr>
              <w:autoSpaceDE w:val="0"/>
              <w:autoSpaceDN w:val="0"/>
              <w:adjustRightInd w:val="0"/>
              <w:rPr>
                <w:rFonts w:ascii="Arial" w:hAnsi="Arial" w:cs="Arial"/>
                <w:sz w:val="20"/>
                <w:lang w:eastAsia="en-GB"/>
              </w:rPr>
            </w:pPr>
            <w:r w:rsidRPr="00810477">
              <w:rPr>
                <w:rFonts w:ascii="Arial" w:hAnsi="Arial" w:cs="Arial"/>
                <w:sz w:val="20"/>
                <w:lang w:eastAsia="en-GB"/>
              </w:rPr>
              <w:t>Bridgend</w:t>
            </w:r>
          </w:p>
        </w:tc>
        <w:tc>
          <w:tcPr>
            <w:tcW w:w="1805" w:type="dxa"/>
            <w:shd w:val="solid" w:color="FFFFFF" w:fill="auto"/>
            <w:vAlign w:val="bottom"/>
          </w:tcPr>
          <w:p w14:paraId="168E0D2A" w14:textId="47A080BB" w:rsidR="00EF7564" w:rsidRPr="00810477" w:rsidRDefault="00EF7564" w:rsidP="00EF7564">
            <w:pPr>
              <w:autoSpaceDE w:val="0"/>
              <w:autoSpaceDN w:val="0"/>
              <w:adjustRightInd w:val="0"/>
              <w:jc w:val="right"/>
              <w:rPr>
                <w:rFonts w:ascii="Arial" w:hAnsi="Arial" w:cs="Arial"/>
                <w:sz w:val="20"/>
                <w:lang w:eastAsia="en-GB"/>
              </w:rPr>
            </w:pPr>
            <w:r>
              <w:rPr>
                <w:rFonts w:ascii="Arial" w:hAnsi="Arial" w:cs="Arial"/>
                <w:color w:val="000000"/>
                <w:sz w:val="20"/>
              </w:rPr>
              <w:t>212,755</w:t>
            </w:r>
          </w:p>
        </w:tc>
        <w:tc>
          <w:tcPr>
            <w:tcW w:w="1805" w:type="dxa"/>
            <w:shd w:val="solid" w:color="FFFFFF" w:fill="auto"/>
            <w:vAlign w:val="bottom"/>
          </w:tcPr>
          <w:p w14:paraId="228730BA" w14:textId="095E8584" w:rsidR="00EF7564" w:rsidRPr="00810477" w:rsidRDefault="00EF7564" w:rsidP="00EF7564">
            <w:pPr>
              <w:autoSpaceDE w:val="0"/>
              <w:autoSpaceDN w:val="0"/>
              <w:adjustRightInd w:val="0"/>
              <w:jc w:val="right"/>
              <w:rPr>
                <w:rFonts w:ascii="Arial" w:hAnsi="Arial" w:cs="Arial"/>
                <w:sz w:val="20"/>
                <w:lang w:eastAsia="en-GB"/>
              </w:rPr>
            </w:pPr>
            <w:r>
              <w:rPr>
                <w:rFonts w:ascii="Arial" w:hAnsi="Arial" w:cs="Arial"/>
                <w:color w:val="000000"/>
                <w:sz w:val="20"/>
              </w:rPr>
              <w:t>232,368</w:t>
            </w:r>
          </w:p>
        </w:tc>
        <w:tc>
          <w:tcPr>
            <w:tcW w:w="1806" w:type="dxa"/>
            <w:shd w:val="solid" w:color="FFFFFF" w:fill="auto"/>
            <w:vAlign w:val="bottom"/>
          </w:tcPr>
          <w:p w14:paraId="3B439D3C" w14:textId="0E105ECE" w:rsidR="00EF7564" w:rsidRPr="00810477" w:rsidRDefault="00EF7564" w:rsidP="00EF7564">
            <w:pPr>
              <w:autoSpaceDE w:val="0"/>
              <w:autoSpaceDN w:val="0"/>
              <w:adjustRightInd w:val="0"/>
              <w:jc w:val="right"/>
              <w:rPr>
                <w:rFonts w:ascii="Arial" w:hAnsi="Arial" w:cs="Arial"/>
                <w:sz w:val="20"/>
                <w:lang w:eastAsia="en-GB"/>
              </w:rPr>
            </w:pPr>
            <w:r>
              <w:rPr>
                <w:rFonts w:ascii="Arial" w:hAnsi="Arial" w:cs="Arial"/>
                <w:color w:val="000000"/>
                <w:sz w:val="20"/>
              </w:rPr>
              <w:t>9.2%</w:t>
            </w:r>
          </w:p>
        </w:tc>
        <w:tc>
          <w:tcPr>
            <w:tcW w:w="1805" w:type="dxa"/>
            <w:shd w:val="solid" w:color="FFFFFF" w:fill="auto"/>
            <w:vAlign w:val="bottom"/>
          </w:tcPr>
          <w:p w14:paraId="47455025" w14:textId="07E4BBA2" w:rsidR="00EF7564" w:rsidRPr="00810477" w:rsidRDefault="00EF7564" w:rsidP="00EF7564">
            <w:pPr>
              <w:autoSpaceDE w:val="0"/>
              <w:autoSpaceDN w:val="0"/>
              <w:adjustRightInd w:val="0"/>
              <w:jc w:val="right"/>
              <w:rPr>
                <w:rFonts w:ascii="Arial" w:hAnsi="Arial" w:cs="Arial"/>
                <w:sz w:val="20"/>
                <w:lang w:eastAsia="en-GB"/>
              </w:rPr>
            </w:pPr>
            <w:r>
              <w:rPr>
                <w:rFonts w:ascii="Arial" w:hAnsi="Arial" w:cs="Arial"/>
                <w:color w:val="000000"/>
                <w:sz w:val="20"/>
              </w:rPr>
              <w:t>13</w:t>
            </w:r>
          </w:p>
        </w:tc>
        <w:tc>
          <w:tcPr>
            <w:tcW w:w="1806" w:type="dxa"/>
            <w:shd w:val="solid" w:color="FFFFFF" w:fill="auto"/>
            <w:vAlign w:val="bottom"/>
          </w:tcPr>
          <w:p w14:paraId="7BC4ADE5" w14:textId="533A5AE5" w:rsidR="00EF7564" w:rsidRPr="00810477" w:rsidRDefault="00EF7564" w:rsidP="00EF7564">
            <w:pPr>
              <w:autoSpaceDE w:val="0"/>
              <w:autoSpaceDN w:val="0"/>
              <w:adjustRightInd w:val="0"/>
              <w:jc w:val="right"/>
              <w:rPr>
                <w:rFonts w:ascii="Arial" w:hAnsi="Arial" w:cs="Arial"/>
                <w:sz w:val="20"/>
                <w:lang w:eastAsia="en-GB"/>
              </w:rPr>
            </w:pPr>
            <w:r>
              <w:rPr>
                <w:rFonts w:ascii="Arial" w:hAnsi="Arial" w:cs="Arial"/>
                <w:color w:val="000000"/>
                <w:sz w:val="20"/>
              </w:rPr>
              <w:t xml:space="preserve">                 12,866 </w:t>
            </w:r>
          </w:p>
        </w:tc>
      </w:tr>
      <w:tr w:rsidR="00EF7564" w:rsidRPr="00810477" w14:paraId="5823C8F8" w14:textId="77777777" w:rsidTr="00BE5BE5">
        <w:trPr>
          <w:trHeight w:val="259"/>
        </w:trPr>
        <w:tc>
          <w:tcPr>
            <w:tcW w:w="2455" w:type="dxa"/>
            <w:shd w:val="solid" w:color="FFFFFF" w:fill="auto"/>
            <w:vAlign w:val="center"/>
          </w:tcPr>
          <w:p w14:paraId="766E6B50" w14:textId="77777777" w:rsidR="00EF7564" w:rsidRPr="00810477" w:rsidRDefault="00EF7564" w:rsidP="00EF7564">
            <w:pPr>
              <w:autoSpaceDE w:val="0"/>
              <w:autoSpaceDN w:val="0"/>
              <w:adjustRightInd w:val="0"/>
              <w:rPr>
                <w:rFonts w:ascii="Arial" w:hAnsi="Arial" w:cs="Arial"/>
                <w:sz w:val="20"/>
                <w:lang w:eastAsia="en-GB"/>
              </w:rPr>
            </w:pPr>
            <w:r w:rsidRPr="00810477">
              <w:rPr>
                <w:rFonts w:ascii="Arial" w:hAnsi="Arial" w:cs="Arial"/>
                <w:sz w:val="20"/>
                <w:lang w:eastAsia="en-GB"/>
              </w:rPr>
              <w:t>The Vale Of Glamorgan</w:t>
            </w:r>
          </w:p>
        </w:tc>
        <w:tc>
          <w:tcPr>
            <w:tcW w:w="1805" w:type="dxa"/>
            <w:shd w:val="solid" w:color="FFFFFF" w:fill="auto"/>
            <w:vAlign w:val="bottom"/>
          </w:tcPr>
          <w:p w14:paraId="7F0552E6" w14:textId="472EAEC1" w:rsidR="00EF7564" w:rsidRPr="00810477" w:rsidRDefault="00EF7564" w:rsidP="00EF7564">
            <w:pPr>
              <w:autoSpaceDE w:val="0"/>
              <w:autoSpaceDN w:val="0"/>
              <w:adjustRightInd w:val="0"/>
              <w:jc w:val="right"/>
              <w:rPr>
                <w:rFonts w:ascii="Arial" w:hAnsi="Arial" w:cs="Arial"/>
                <w:sz w:val="20"/>
                <w:lang w:eastAsia="en-GB"/>
              </w:rPr>
            </w:pPr>
            <w:r>
              <w:rPr>
                <w:rFonts w:ascii="Arial" w:hAnsi="Arial" w:cs="Arial"/>
                <w:color w:val="000000"/>
                <w:sz w:val="20"/>
              </w:rPr>
              <w:t>168,128</w:t>
            </w:r>
          </w:p>
        </w:tc>
        <w:tc>
          <w:tcPr>
            <w:tcW w:w="1805" w:type="dxa"/>
            <w:shd w:val="solid" w:color="FFFFFF" w:fill="auto"/>
            <w:vAlign w:val="bottom"/>
          </w:tcPr>
          <w:p w14:paraId="0AFE7E04" w14:textId="252939EE" w:rsidR="00EF7564" w:rsidRPr="00810477" w:rsidRDefault="00EF7564" w:rsidP="00EF7564">
            <w:pPr>
              <w:autoSpaceDE w:val="0"/>
              <w:autoSpaceDN w:val="0"/>
              <w:adjustRightInd w:val="0"/>
              <w:jc w:val="right"/>
              <w:rPr>
                <w:rFonts w:ascii="Arial" w:hAnsi="Arial" w:cs="Arial"/>
                <w:sz w:val="20"/>
                <w:lang w:eastAsia="en-GB"/>
              </w:rPr>
            </w:pPr>
            <w:r>
              <w:rPr>
                <w:rFonts w:ascii="Arial" w:hAnsi="Arial" w:cs="Arial"/>
                <w:color w:val="000000"/>
                <w:sz w:val="20"/>
              </w:rPr>
              <w:t>186,015</w:t>
            </w:r>
          </w:p>
        </w:tc>
        <w:tc>
          <w:tcPr>
            <w:tcW w:w="1806" w:type="dxa"/>
            <w:shd w:val="solid" w:color="FFFFFF" w:fill="auto"/>
            <w:vAlign w:val="bottom"/>
          </w:tcPr>
          <w:p w14:paraId="71FB4569" w14:textId="3693274F" w:rsidR="00EF7564" w:rsidRPr="00810477" w:rsidRDefault="00EF7564" w:rsidP="00EF7564">
            <w:pPr>
              <w:autoSpaceDE w:val="0"/>
              <w:autoSpaceDN w:val="0"/>
              <w:adjustRightInd w:val="0"/>
              <w:jc w:val="right"/>
              <w:rPr>
                <w:rFonts w:ascii="Arial" w:hAnsi="Arial" w:cs="Arial"/>
                <w:sz w:val="20"/>
                <w:lang w:eastAsia="en-GB"/>
              </w:rPr>
            </w:pPr>
            <w:r>
              <w:rPr>
                <w:rFonts w:ascii="Arial" w:hAnsi="Arial" w:cs="Arial"/>
                <w:color w:val="000000"/>
                <w:sz w:val="20"/>
              </w:rPr>
              <w:t>10.6%</w:t>
            </w:r>
          </w:p>
        </w:tc>
        <w:tc>
          <w:tcPr>
            <w:tcW w:w="1805" w:type="dxa"/>
            <w:shd w:val="solid" w:color="FFFFFF" w:fill="auto"/>
            <w:vAlign w:val="bottom"/>
          </w:tcPr>
          <w:p w14:paraId="3295CDB3" w14:textId="0CF06EAC" w:rsidR="00EF7564" w:rsidRPr="00810477" w:rsidRDefault="00EF7564" w:rsidP="00EF7564">
            <w:pPr>
              <w:autoSpaceDE w:val="0"/>
              <w:autoSpaceDN w:val="0"/>
              <w:adjustRightInd w:val="0"/>
              <w:jc w:val="right"/>
              <w:rPr>
                <w:rFonts w:ascii="Arial" w:hAnsi="Arial" w:cs="Arial"/>
                <w:sz w:val="20"/>
                <w:lang w:eastAsia="en-GB"/>
              </w:rPr>
            </w:pPr>
            <w:r>
              <w:rPr>
                <w:rFonts w:ascii="Arial" w:hAnsi="Arial" w:cs="Arial"/>
                <w:color w:val="000000"/>
                <w:sz w:val="20"/>
              </w:rPr>
              <w:t>3</w:t>
            </w:r>
          </w:p>
        </w:tc>
        <w:tc>
          <w:tcPr>
            <w:tcW w:w="1806" w:type="dxa"/>
            <w:shd w:val="solid" w:color="FFFFFF" w:fill="auto"/>
            <w:vAlign w:val="bottom"/>
          </w:tcPr>
          <w:p w14:paraId="1DC63674" w14:textId="119E2D82" w:rsidR="00EF7564" w:rsidRPr="00810477" w:rsidRDefault="00EF7564" w:rsidP="00EF7564">
            <w:pPr>
              <w:autoSpaceDE w:val="0"/>
              <w:autoSpaceDN w:val="0"/>
              <w:adjustRightInd w:val="0"/>
              <w:jc w:val="right"/>
              <w:rPr>
                <w:rFonts w:ascii="Arial" w:hAnsi="Arial" w:cs="Arial"/>
                <w:sz w:val="20"/>
                <w:lang w:eastAsia="en-GB"/>
              </w:rPr>
            </w:pPr>
            <w:r>
              <w:rPr>
                <w:rFonts w:ascii="Arial" w:hAnsi="Arial" w:cs="Arial"/>
                <w:color w:val="000000"/>
                <w:sz w:val="20"/>
              </w:rPr>
              <w:t xml:space="preserve">                  9,088 </w:t>
            </w:r>
          </w:p>
        </w:tc>
      </w:tr>
      <w:tr w:rsidR="00EF7564" w:rsidRPr="00810477" w14:paraId="692D559F" w14:textId="77777777" w:rsidTr="00BE5BE5">
        <w:trPr>
          <w:trHeight w:val="259"/>
        </w:trPr>
        <w:tc>
          <w:tcPr>
            <w:tcW w:w="2455" w:type="dxa"/>
            <w:shd w:val="solid" w:color="FFFFFF" w:fill="auto"/>
            <w:vAlign w:val="center"/>
          </w:tcPr>
          <w:p w14:paraId="6FE1C136" w14:textId="77777777" w:rsidR="00EF7564" w:rsidRPr="00810477" w:rsidRDefault="00EF7564" w:rsidP="00EF7564">
            <w:pPr>
              <w:autoSpaceDE w:val="0"/>
              <w:autoSpaceDN w:val="0"/>
              <w:adjustRightInd w:val="0"/>
              <w:rPr>
                <w:rFonts w:ascii="Arial" w:hAnsi="Arial" w:cs="Arial"/>
                <w:sz w:val="20"/>
                <w:lang w:eastAsia="en-GB"/>
              </w:rPr>
            </w:pPr>
            <w:r w:rsidRPr="00810477">
              <w:rPr>
                <w:rFonts w:ascii="Arial" w:hAnsi="Arial" w:cs="Arial"/>
                <w:sz w:val="20"/>
                <w:lang w:eastAsia="en-GB"/>
              </w:rPr>
              <w:t>Rhondda Cynon Taf</w:t>
            </w:r>
          </w:p>
        </w:tc>
        <w:tc>
          <w:tcPr>
            <w:tcW w:w="1805" w:type="dxa"/>
            <w:shd w:val="solid" w:color="FFFFFF" w:fill="auto"/>
            <w:vAlign w:val="bottom"/>
          </w:tcPr>
          <w:p w14:paraId="126277A1" w14:textId="59AA0673" w:rsidR="00EF7564" w:rsidRPr="00810477" w:rsidRDefault="00EF7564" w:rsidP="00EF7564">
            <w:pPr>
              <w:autoSpaceDE w:val="0"/>
              <w:autoSpaceDN w:val="0"/>
              <w:adjustRightInd w:val="0"/>
              <w:jc w:val="right"/>
              <w:rPr>
                <w:rFonts w:ascii="Arial" w:hAnsi="Arial" w:cs="Arial"/>
                <w:sz w:val="20"/>
                <w:lang w:eastAsia="en-GB"/>
              </w:rPr>
            </w:pPr>
            <w:r>
              <w:rPr>
                <w:rFonts w:ascii="Arial" w:hAnsi="Arial" w:cs="Arial"/>
                <w:color w:val="000000"/>
                <w:sz w:val="20"/>
              </w:rPr>
              <w:t>407,050</w:t>
            </w:r>
          </w:p>
        </w:tc>
        <w:tc>
          <w:tcPr>
            <w:tcW w:w="1805" w:type="dxa"/>
            <w:shd w:val="solid" w:color="FFFFFF" w:fill="auto"/>
            <w:vAlign w:val="bottom"/>
          </w:tcPr>
          <w:p w14:paraId="5400DD30" w14:textId="5005B033" w:rsidR="00EF7564" w:rsidRPr="00810477" w:rsidRDefault="00EF7564" w:rsidP="00EF7564">
            <w:pPr>
              <w:autoSpaceDE w:val="0"/>
              <w:autoSpaceDN w:val="0"/>
              <w:adjustRightInd w:val="0"/>
              <w:jc w:val="right"/>
              <w:rPr>
                <w:rFonts w:ascii="Arial" w:hAnsi="Arial" w:cs="Arial"/>
                <w:sz w:val="20"/>
                <w:lang w:eastAsia="en-GB"/>
              </w:rPr>
            </w:pPr>
            <w:r>
              <w:rPr>
                <w:rFonts w:ascii="Arial" w:hAnsi="Arial" w:cs="Arial"/>
                <w:color w:val="000000"/>
                <w:sz w:val="20"/>
              </w:rPr>
              <w:t>441,441</w:t>
            </w:r>
          </w:p>
        </w:tc>
        <w:tc>
          <w:tcPr>
            <w:tcW w:w="1806" w:type="dxa"/>
            <w:shd w:val="solid" w:color="FFFFFF" w:fill="auto"/>
            <w:vAlign w:val="bottom"/>
          </w:tcPr>
          <w:p w14:paraId="6858FC9F" w14:textId="32E47670" w:rsidR="00EF7564" w:rsidRPr="00810477" w:rsidRDefault="00EF7564" w:rsidP="00EF7564">
            <w:pPr>
              <w:autoSpaceDE w:val="0"/>
              <w:autoSpaceDN w:val="0"/>
              <w:adjustRightInd w:val="0"/>
              <w:jc w:val="right"/>
              <w:rPr>
                <w:rFonts w:ascii="Arial" w:hAnsi="Arial" w:cs="Arial"/>
                <w:sz w:val="20"/>
                <w:lang w:eastAsia="en-GB"/>
              </w:rPr>
            </w:pPr>
            <w:r>
              <w:rPr>
                <w:rFonts w:ascii="Arial" w:hAnsi="Arial" w:cs="Arial"/>
                <w:color w:val="000000"/>
                <w:sz w:val="20"/>
              </w:rPr>
              <w:t>8.4%</w:t>
            </w:r>
          </w:p>
        </w:tc>
        <w:tc>
          <w:tcPr>
            <w:tcW w:w="1805" w:type="dxa"/>
            <w:shd w:val="solid" w:color="FFFFFF" w:fill="auto"/>
            <w:vAlign w:val="bottom"/>
          </w:tcPr>
          <w:p w14:paraId="12FF3635" w14:textId="680D19D5" w:rsidR="00EF7564" w:rsidRPr="00810477" w:rsidRDefault="00EF7564" w:rsidP="00EF7564">
            <w:pPr>
              <w:autoSpaceDE w:val="0"/>
              <w:autoSpaceDN w:val="0"/>
              <w:adjustRightInd w:val="0"/>
              <w:jc w:val="right"/>
              <w:rPr>
                <w:rFonts w:ascii="Arial" w:hAnsi="Arial" w:cs="Arial"/>
                <w:sz w:val="20"/>
                <w:lang w:eastAsia="en-GB"/>
              </w:rPr>
            </w:pPr>
            <w:r>
              <w:rPr>
                <w:rFonts w:ascii="Arial" w:hAnsi="Arial" w:cs="Arial"/>
                <w:color w:val="000000"/>
                <w:sz w:val="20"/>
              </w:rPr>
              <w:t>21</w:t>
            </w:r>
          </w:p>
        </w:tc>
        <w:tc>
          <w:tcPr>
            <w:tcW w:w="1806" w:type="dxa"/>
            <w:shd w:val="solid" w:color="FFFFFF" w:fill="auto"/>
            <w:vAlign w:val="bottom"/>
          </w:tcPr>
          <w:p w14:paraId="222E66E0" w14:textId="6E168A8B" w:rsidR="00EF7564" w:rsidRPr="00810477" w:rsidRDefault="00EF7564" w:rsidP="00EF7564">
            <w:pPr>
              <w:autoSpaceDE w:val="0"/>
              <w:autoSpaceDN w:val="0"/>
              <w:adjustRightInd w:val="0"/>
              <w:jc w:val="right"/>
              <w:rPr>
                <w:rFonts w:ascii="Arial" w:hAnsi="Arial" w:cs="Arial"/>
                <w:sz w:val="20"/>
                <w:lang w:eastAsia="en-GB"/>
              </w:rPr>
            </w:pPr>
            <w:r>
              <w:rPr>
                <w:rFonts w:ascii="Arial" w:hAnsi="Arial" w:cs="Arial"/>
                <w:color w:val="000000"/>
                <w:sz w:val="20"/>
              </w:rPr>
              <w:t xml:space="preserve">                 21,005 </w:t>
            </w:r>
          </w:p>
        </w:tc>
      </w:tr>
      <w:tr w:rsidR="00EF7564" w:rsidRPr="00810477" w14:paraId="4B4FD10F" w14:textId="77777777" w:rsidTr="00BE5BE5">
        <w:trPr>
          <w:trHeight w:val="259"/>
        </w:trPr>
        <w:tc>
          <w:tcPr>
            <w:tcW w:w="2455" w:type="dxa"/>
            <w:shd w:val="solid" w:color="FFFFFF" w:fill="auto"/>
            <w:vAlign w:val="center"/>
          </w:tcPr>
          <w:p w14:paraId="0B3AA216" w14:textId="77777777" w:rsidR="00EF7564" w:rsidRPr="00810477" w:rsidRDefault="00EF7564" w:rsidP="00EF7564">
            <w:pPr>
              <w:autoSpaceDE w:val="0"/>
              <w:autoSpaceDN w:val="0"/>
              <w:adjustRightInd w:val="0"/>
              <w:rPr>
                <w:rFonts w:ascii="Arial" w:hAnsi="Arial" w:cs="Arial"/>
                <w:sz w:val="20"/>
                <w:lang w:eastAsia="en-GB"/>
              </w:rPr>
            </w:pPr>
            <w:r w:rsidRPr="00810477">
              <w:rPr>
                <w:rFonts w:ascii="Arial" w:hAnsi="Arial" w:cs="Arial"/>
                <w:sz w:val="20"/>
                <w:lang w:eastAsia="en-GB"/>
              </w:rPr>
              <w:t>Merthyr Tydfil</w:t>
            </w:r>
          </w:p>
        </w:tc>
        <w:tc>
          <w:tcPr>
            <w:tcW w:w="1805" w:type="dxa"/>
            <w:shd w:val="solid" w:color="FFFFFF" w:fill="auto"/>
            <w:vAlign w:val="bottom"/>
          </w:tcPr>
          <w:p w14:paraId="487FC15C" w14:textId="52E91866" w:rsidR="00EF7564" w:rsidRPr="00810477" w:rsidRDefault="00EF7564" w:rsidP="00EF7564">
            <w:pPr>
              <w:autoSpaceDE w:val="0"/>
              <w:autoSpaceDN w:val="0"/>
              <w:adjustRightInd w:val="0"/>
              <w:jc w:val="right"/>
              <w:rPr>
                <w:rFonts w:ascii="Arial" w:hAnsi="Arial" w:cs="Arial"/>
                <w:sz w:val="20"/>
                <w:lang w:eastAsia="en-GB"/>
              </w:rPr>
            </w:pPr>
            <w:r>
              <w:rPr>
                <w:rFonts w:ascii="Arial" w:hAnsi="Arial" w:cs="Arial"/>
                <w:color w:val="000000"/>
                <w:sz w:val="20"/>
              </w:rPr>
              <w:t>101,493</w:t>
            </w:r>
          </w:p>
        </w:tc>
        <w:tc>
          <w:tcPr>
            <w:tcW w:w="1805" w:type="dxa"/>
            <w:shd w:val="solid" w:color="FFFFFF" w:fill="auto"/>
            <w:vAlign w:val="bottom"/>
          </w:tcPr>
          <w:p w14:paraId="277D3D72" w14:textId="54CD10A1" w:rsidR="00EF7564" w:rsidRPr="00810477" w:rsidRDefault="00EF7564" w:rsidP="00EF7564">
            <w:pPr>
              <w:autoSpaceDE w:val="0"/>
              <w:autoSpaceDN w:val="0"/>
              <w:adjustRightInd w:val="0"/>
              <w:jc w:val="right"/>
              <w:rPr>
                <w:rFonts w:ascii="Arial" w:hAnsi="Arial" w:cs="Arial"/>
                <w:sz w:val="20"/>
                <w:lang w:eastAsia="en-GB"/>
              </w:rPr>
            </w:pPr>
            <w:r>
              <w:rPr>
                <w:rFonts w:ascii="Arial" w:hAnsi="Arial" w:cs="Arial"/>
                <w:color w:val="000000"/>
                <w:sz w:val="20"/>
              </w:rPr>
              <w:t>110,617</w:t>
            </w:r>
          </w:p>
        </w:tc>
        <w:tc>
          <w:tcPr>
            <w:tcW w:w="1806" w:type="dxa"/>
            <w:shd w:val="solid" w:color="FFFFFF" w:fill="auto"/>
            <w:vAlign w:val="bottom"/>
          </w:tcPr>
          <w:p w14:paraId="5E13C6B6" w14:textId="018FD956" w:rsidR="00EF7564" w:rsidRPr="00810477" w:rsidRDefault="00EF7564" w:rsidP="00EF7564">
            <w:pPr>
              <w:autoSpaceDE w:val="0"/>
              <w:autoSpaceDN w:val="0"/>
              <w:adjustRightInd w:val="0"/>
              <w:jc w:val="right"/>
              <w:rPr>
                <w:rFonts w:ascii="Arial" w:hAnsi="Arial" w:cs="Arial"/>
                <w:sz w:val="20"/>
                <w:lang w:eastAsia="en-GB"/>
              </w:rPr>
            </w:pPr>
            <w:r>
              <w:rPr>
                <w:rFonts w:ascii="Arial" w:hAnsi="Arial" w:cs="Arial"/>
                <w:color w:val="000000"/>
                <w:sz w:val="20"/>
              </w:rPr>
              <w:t>9.0%</w:t>
            </w:r>
          </w:p>
        </w:tc>
        <w:tc>
          <w:tcPr>
            <w:tcW w:w="1805" w:type="dxa"/>
            <w:shd w:val="solid" w:color="FFFFFF" w:fill="auto"/>
            <w:vAlign w:val="bottom"/>
          </w:tcPr>
          <w:p w14:paraId="1E9A5B9A" w14:textId="28AFB5D7" w:rsidR="00EF7564" w:rsidRPr="00810477" w:rsidRDefault="00EF7564" w:rsidP="00EF7564">
            <w:pPr>
              <w:autoSpaceDE w:val="0"/>
              <w:autoSpaceDN w:val="0"/>
              <w:adjustRightInd w:val="0"/>
              <w:jc w:val="right"/>
              <w:rPr>
                <w:rFonts w:ascii="Arial" w:hAnsi="Arial" w:cs="Arial"/>
                <w:sz w:val="20"/>
                <w:lang w:eastAsia="en-GB"/>
              </w:rPr>
            </w:pPr>
            <w:r>
              <w:rPr>
                <w:rFonts w:ascii="Arial" w:hAnsi="Arial" w:cs="Arial"/>
                <w:color w:val="000000"/>
                <w:sz w:val="20"/>
              </w:rPr>
              <w:t>16</w:t>
            </w:r>
          </w:p>
        </w:tc>
        <w:tc>
          <w:tcPr>
            <w:tcW w:w="1806" w:type="dxa"/>
            <w:shd w:val="solid" w:color="FFFFFF" w:fill="auto"/>
            <w:vAlign w:val="bottom"/>
          </w:tcPr>
          <w:p w14:paraId="27ADA2EB" w14:textId="012E3470" w:rsidR="00EF7564" w:rsidRPr="00810477" w:rsidRDefault="00EF7564" w:rsidP="00EF7564">
            <w:pPr>
              <w:autoSpaceDE w:val="0"/>
              <w:autoSpaceDN w:val="0"/>
              <w:adjustRightInd w:val="0"/>
              <w:jc w:val="right"/>
              <w:rPr>
                <w:rFonts w:ascii="Arial" w:hAnsi="Arial" w:cs="Arial"/>
                <w:sz w:val="20"/>
                <w:lang w:eastAsia="en-GB"/>
              </w:rPr>
            </w:pPr>
            <w:r>
              <w:rPr>
                <w:rFonts w:ascii="Arial" w:hAnsi="Arial" w:cs="Arial"/>
                <w:color w:val="000000"/>
                <w:sz w:val="20"/>
              </w:rPr>
              <w:t xml:space="preserve">                  5,627 </w:t>
            </w:r>
          </w:p>
        </w:tc>
      </w:tr>
      <w:tr w:rsidR="00EF7564" w:rsidRPr="00810477" w14:paraId="0B1309FB" w14:textId="77777777" w:rsidTr="00BE5BE5">
        <w:trPr>
          <w:trHeight w:val="259"/>
        </w:trPr>
        <w:tc>
          <w:tcPr>
            <w:tcW w:w="2455" w:type="dxa"/>
            <w:shd w:val="solid" w:color="FFFFFF" w:fill="auto"/>
            <w:vAlign w:val="center"/>
          </w:tcPr>
          <w:p w14:paraId="5014156C" w14:textId="77777777" w:rsidR="00EF7564" w:rsidRPr="00810477" w:rsidRDefault="00EF7564" w:rsidP="00EF7564">
            <w:pPr>
              <w:autoSpaceDE w:val="0"/>
              <w:autoSpaceDN w:val="0"/>
              <w:adjustRightInd w:val="0"/>
              <w:rPr>
                <w:rFonts w:ascii="Arial" w:hAnsi="Arial" w:cs="Arial"/>
                <w:sz w:val="20"/>
                <w:lang w:eastAsia="en-GB"/>
              </w:rPr>
            </w:pPr>
            <w:r w:rsidRPr="00810477">
              <w:rPr>
                <w:rFonts w:ascii="Arial" w:hAnsi="Arial" w:cs="Arial"/>
                <w:sz w:val="20"/>
                <w:lang w:eastAsia="en-GB"/>
              </w:rPr>
              <w:t>Caerphilly</w:t>
            </w:r>
          </w:p>
        </w:tc>
        <w:tc>
          <w:tcPr>
            <w:tcW w:w="1805" w:type="dxa"/>
            <w:shd w:val="solid" w:color="FFFFFF" w:fill="auto"/>
            <w:vAlign w:val="bottom"/>
          </w:tcPr>
          <w:p w14:paraId="24F7ACE4" w14:textId="38BC5A09" w:rsidR="00EF7564" w:rsidRPr="00810477" w:rsidRDefault="00EF7564" w:rsidP="00EF7564">
            <w:pPr>
              <w:autoSpaceDE w:val="0"/>
              <w:autoSpaceDN w:val="0"/>
              <w:adjustRightInd w:val="0"/>
              <w:jc w:val="right"/>
              <w:rPr>
                <w:rFonts w:ascii="Arial" w:hAnsi="Arial" w:cs="Arial"/>
                <w:sz w:val="20"/>
                <w:lang w:eastAsia="en-GB"/>
              </w:rPr>
            </w:pPr>
            <w:r>
              <w:rPr>
                <w:rFonts w:ascii="Arial" w:hAnsi="Arial" w:cs="Arial"/>
                <w:color w:val="000000"/>
                <w:sz w:val="20"/>
              </w:rPr>
              <w:t>292,712</w:t>
            </w:r>
          </w:p>
        </w:tc>
        <w:tc>
          <w:tcPr>
            <w:tcW w:w="1805" w:type="dxa"/>
            <w:shd w:val="solid" w:color="FFFFFF" w:fill="auto"/>
            <w:vAlign w:val="bottom"/>
          </w:tcPr>
          <w:p w14:paraId="1DB564AD" w14:textId="5EA3C81E" w:rsidR="00EF7564" w:rsidRPr="00810477" w:rsidRDefault="00EF7564" w:rsidP="00EF7564">
            <w:pPr>
              <w:autoSpaceDE w:val="0"/>
              <w:autoSpaceDN w:val="0"/>
              <w:adjustRightInd w:val="0"/>
              <w:jc w:val="right"/>
              <w:rPr>
                <w:rFonts w:ascii="Arial" w:hAnsi="Arial" w:cs="Arial"/>
                <w:sz w:val="20"/>
                <w:lang w:eastAsia="en-GB"/>
              </w:rPr>
            </w:pPr>
            <w:r>
              <w:rPr>
                <w:rFonts w:ascii="Arial" w:hAnsi="Arial" w:cs="Arial"/>
                <w:color w:val="000000"/>
                <w:sz w:val="20"/>
              </w:rPr>
              <w:t>317,459</w:t>
            </w:r>
          </w:p>
        </w:tc>
        <w:tc>
          <w:tcPr>
            <w:tcW w:w="1806" w:type="dxa"/>
            <w:shd w:val="solid" w:color="FFFFFF" w:fill="auto"/>
            <w:vAlign w:val="bottom"/>
          </w:tcPr>
          <w:p w14:paraId="0EF87C21" w14:textId="14262BC9" w:rsidR="00EF7564" w:rsidRPr="00810477" w:rsidRDefault="00EF7564" w:rsidP="00EF7564">
            <w:pPr>
              <w:autoSpaceDE w:val="0"/>
              <w:autoSpaceDN w:val="0"/>
              <w:adjustRightInd w:val="0"/>
              <w:jc w:val="right"/>
              <w:rPr>
                <w:rFonts w:ascii="Arial" w:hAnsi="Arial" w:cs="Arial"/>
                <w:sz w:val="20"/>
                <w:lang w:eastAsia="en-GB"/>
              </w:rPr>
            </w:pPr>
            <w:r>
              <w:rPr>
                <w:rFonts w:ascii="Arial" w:hAnsi="Arial" w:cs="Arial"/>
                <w:color w:val="000000"/>
                <w:sz w:val="20"/>
              </w:rPr>
              <w:t>8.5%</w:t>
            </w:r>
          </w:p>
        </w:tc>
        <w:tc>
          <w:tcPr>
            <w:tcW w:w="1805" w:type="dxa"/>
            <w:shd w:val="solid" w:color="FFFFFF" w:fill="auto"/>
            <w:vAlign w:val="bottom"/>
          </w:tcPr>
          <w:p w14:paraId="4746586E" w14:textId="5CB2CD5E" w:rsidR="00EF7564" w:rsidRPr="00810477" w:rsidRDefault="00EF7564" w:rsidP="00EF7564">
            <w:pPr>
              <w:autoSpaceDE w:val="0"/>
              <w:autoSpaceDN w:val="0"/>
              <w:adjustRightInd w:val="0"/>
              <w:jc w:val="right"/>
              <w:rPr>
                <w:rFonts w:ascii="Arial" w:hAnsi="Arial" w:cs="Arial"/>
                <w:sz w:val="20"/>
                <w:lang w:eastAsia="en-GB"/>
              </w:rPr>
            </w:pPr>
            <w:r>
              <w:rPr>
                <w:rFonts w:ascii="Arial" w:hAnsi="Arial" w:cs="Arial"/>
                <w:color w:val="000000"/>
                <w:sz w:val="20"/>
              </w:rPr>
              <w:t>20</w:t>
            </w:r>
          </w:p>
        </w:tc>
        <w:tc>
          <w:tcPr>
            <w:tcW w:w="1806" w:type="dxa"/>
            <w:shd w:val="solid" w:color="FFFFFF" w:fill="auto"/>
            <w:vAlign w:val="bottom"/>
          </w:tcPr>
          <w:p w14:paraId="5B3493B2" w14:textId="2D48E0FF" w:rsidR="00EF7564" w:rsidRPr="00810477" w:rsidRDefault="00EF7564" w:rsidP="00EF7564">
            <w:pPr>
              <w:autoSpaceDE w:val="0"/>
              <w:autoSpaceDN w:val="0"/>
              <w:adjustRightInd w:val="0"/>
              <w:jc w:val="right"/>
              <w:rPr>
                <w:rFonts w:ascii="Arial" w:hAnsi="Arial" w:cs="Arial"/>
                <w:sz w:val="20"/>
                <w:lang w:eastAsia="en-GB"/>
              </w:rPr>
            </w:pPr>
            <w:r>
              <w:rPr>
                <w:rFonts w:ascii="Arial" w:hAnsi="Arial" w:cs="Arial"/>
                <w:color w:val="000000"/>
                <w:sz w:val="20"/>
              </w:rPr>
              <w:t xml:space="preserve">                 12,651 </w:t>
            </w:r>
          </w:p>
        </w:tc>
      </w:tr>
      <w:tr w:rsidR="00EF7564" w:rsidRPr="00810477" w14:paraId="7B51FF19" w14:textId="77777777" w:rsidTr="00BE5BE5">
        <w:trPr>
          <w:trHeight w:val="259"/>
        </w:trPr>
        <w:tc>
          <w:tcPr>
            <w:tcW w:w="2455" w:type="dxa"/>
            <w:shd w:val="solid" w:color="FFFFFF" w:fill="auto"/>
            <w:vAlign w:val="center"/>
          </w:tcPr>
          <w:p w14:paraId="74728E63" w14:textId="77777777" w:rsidR="00EF7564" w:rsidRPr="00810477" w:rsidRDefault="00EF7564" w:rsidP="00EF7564">
            <w:pPr>
              <w:autoSpaceDE w:val="0"/>
              <w:autoSpaceDN w:val="0"/>
              <w:adjustRightInd w:val="0"/>
              <w:rPr>
                <w:rFonts w:ascii="Arial" w:hAnsi="Arial" w:cs="Arial"/>
                <w:sz w:val="20"/>
                <w:lang w:eastAsia="en-GB"/>
              </w:rPr>
            </w:pPr>
            <w:r w:rsidRPr="00810477">
              <w:rPr>
                <w:rFonts w:ascii="Arial" w:hAnsi="Arial" w:cs="Arial"/>
                <w:sz w:val="20"/>
                <w:lang w:eastAsia="en-GB"/>
              </w:rPr>
              <w:t>Blaenau Gwent</w:t>
            </w:r>
          </w:p>
        </w:tc>
        <w:tc>
          <w:tcPr>
            <w:tcW w:w="1805" w:type="dxa"/>
            <w:shd w:val="solid" w:color="FFFFFF" w:fill="auto"/>
            <w:vAlign w:val="bottom"/>
          </w:tcPr>
          <w:p w14:paraId="09B2B440" w14:textId="4CC3E1F6" w:rsidR="00EF7564" w:rsidRPr="00810477" w:rsidRDefault="00EF7564" w:rsidP="00EF7564">
            <w:pPr>
              <w:autoSpaceDE w:val="0"/>
              <w:autoSpaceDN w:val="0"/>
              <w:adjustRightInd w:val="0"/>
              <w:jc w:val="right"/>
              <w:rPr>
                <w:rFonts w:ascii="Arial" w:hAnsi="Arial" w:cs="Arial"/>
                <w:sz w:val="20"/>
                <w:lang w:eastAsia="en-GB"/>
              </w:rPr>
            </w:pPr>
            <w:r>
              <w:rPr>
                <w:rFonts w:ascii="Arial" w:hAnsi="Arial" w:cs="Arial"/>
                <w:color w:val="000000"/>
                <w:sz w:val="20"/>
              </w:rPr>
              <w:t>120,657</w:t>
            </w:r>
          </w:p>
        </w:tc>
        <w:tc>
          <w:tcPr>
            <w:tcW w:w="1805" w:type="dxa"/>
            <w:shd w:val="solid" w:color="FFFFFF" w:fill="auto"/>
            <w:vAlign w:val="bottom"/>
          </w:tcPr>
          <w:p w14:paraId="752DFE22" w14:textId="7652D27B" w:rsidR="00EF7564" w:rsidRPr="00810477" w:rsidRDefault="00EF7564" w:rsidP="00EF7564">
            <w:pPr>
              <w:autoSpaceDE w:val="0"/>
              <w:autoSpaceDN w:val="0"/>
              <w:adjustRightInd w:val="0"/>
              <w:jc w:val="right"/>
              <w:rPr>
                <w:rFonts w:ascii="Arial" w:hAnsi="Arial" w:cs="Arial"/>
                <w:sz w:val="20"/>
                <w:lang w:eastAsia="en-GB"/>
              </w:rPr>
            </w:pPr>
            <w:r>
              <w:rPr>
                <w:rFonts w:ascii="Arial" w:hAnsi="Arial" w:cs="Arial"/>
                <w:color w:val="000000"/>
                <w:sz w:val="20"/>
              </w:rPr>
              <w:t>130,797</w:t>
            </w:r>
          </w:p>
        </w:tc>
        <w:tc>
          <w:tcPr>
            <w:tcW w:w="1806" w:type="dxa"/>
            <w:shd w:val="solid" w:color="FFFFFF" w:fill="auto"/>
            <w:vAlign w:val="bottom"/>
          </w:tcPr>
          <w:p w14:paraId="1704297A" w14:textId="6A0E4D28" w:rsidR="00EF7564" w:rsidRPr="00810477" w:rsidRDefault="00EF7564" w:rsidP="00EF7564">
            <w:pPr>
              <w:autoSpaceDE w:val="0"/>
              <w:autoSpaceDN w:val="0"/>
              <w:adjustRightInd w:val="0"/>
              <w:jc w:val="right"/>
              <w:rPr>
                <w:rFonts w:ascii="Arial" w:hAnsi="Arial" w:cs="Arial"/>
                <w:sz w:val="20"/>
                <w:lang w:eastAsia="en-GB"/>
              </w:rPr>
            </w:pPr>
            <w:r>
              <w:rPr>
                <w:rFonts w:ascii="Arial" w:hAnsi="Arial" w:cs="Arial"/>
                <w:color w:val="000000"/>
                <w:sz w:val="20"/>
              </w:rPr>
              <w:t>8.4%</w:t>
            </w:r>
          </w:p>
        </w:tc>
        <w:tc>
          <w:tcPr>
            <w:tcW w:w="1805" w:type="dxa"/>
            <w:shd w:val="solid" w:color="FFFFFF" w:fill="auto"/>
            <w:vAlign w:val="bottom"/>
          </w:tcPr>
          <w:p w14:paraId="4CF24FDB" w14:textId="3048828C" w:rsidR="00EF7564" w:rsidRPr="00810477" w:rsidRDefault="00EF7564" w:rsidP="00EF7564">
            <w:pPr>
              <w:autoSpaceDE w:val="0"/>
              <w:autoSpaceDN w:val="0"/>
              <w:adjustRightInd w:val="0"/>
              <w:jc w:val="right"/>
              <w:rPr>
                <w:rFonts w:ascii="Arial" w:hAnsi="Arial" w:cs="Arial"/>
                <w:sz w:val="20"/>
                <w:lang w:eastAsia="en-GB"/>
              </w:rPr>
            </w:pPr>
            <w:r>
              <w:rPr>
                <w:rFonts w:ascii="Arial" w:hAnsi="Arial" w:cs="Arial"/>
                <w:color w:val="000000"/>
                <w:sz w:val="20"/>
              </w:rPr>
              <w:t>22</w:t>
            </w:r>
          </w:p>
        </w:tc>
        <w:tc>
          <w:tcPr>
            <w:tcW w:w="1806" w:type="dxa"/>
            <w:shd w:val="solid" w:color="FFFFFF" w:fill="auto"/>
            <w:vAlign w:val="bottom"/>
          </w:tcPr>
          <w:p w14:paraId="03309F0A" w14:textId="0D1F646F" w:rsidR="00EF7564" w:rsidRPr="00810477" w:rsidRDefault="00EF7564" w:rsidP="00EF7564">
            <w:pPr>
              <w:autoSpaceDE w:val="0"/>
              <w:autoSpaceDN w:val="0"/>
              <w:adjustRightInd w:val="0"/>
              <w:jc w:val="right"/>
              <w:rPr>
                <w:rFonts w:ascii="Arial" w:hAnsi="Arial" w:cs="Arial"/>
                <w:sz w:val="20"/>
                <w:lang w:eastAsia="en-GB"/>
              </w:rPr>
            </w:pPr>
            <w:r>
              <w:rPr>
                <w:rFonts w:ascii="Arial" w:hAnsi="Arial" w:cs="Arial"/>
                <w:color w:val="000000"/>
                <w:sz w:val="20"/>
              </w:rPr>
              <w:t xml:space="preserve">                  8,166 </w:t>
            </w:r>
          </w:p>
        </w:tc>
      </w:tr>
      <w:tr w:rsidR="00EF7564" w:rsidRPr="00810477" w14:paraId="537979B5" w14:textId="77777777" w:rsidTr="00BE5BE5">
        <w:trPr>
          <w:trHeight w:val="259"/>
        </w:trPr>
        <w:tc>
          <w:tcPr>
            <w:tcW w:w="2455" w:type="dxa"/>
            <w:shd w:val="solid" w:color="FFFFFF" w:fill="auto"/>
            <w:vAlign w:val="center"/>
          </w:tcPr>
          <w:p w14:paraId="13B45254" w14:textId="77777777" w:rsidR="00EF7564" w:rsidRPr="00810477" w:rsidRDefault="00EF7564" w:rsidP="00EF7564">
            <w:pPr>
              <w:autoSpaceDE w:val="0"/>
              <w:autoSpaceDN w:val="0"/>
              <w:adjustRightInd w:val="0"/>
              <w:rPr>
                <w:rFonts w:ascii="Arial" w:hAnsi="Arial" w:cs="Arial"/>
                <w:sz w:val="20"/>
                <w:lang w:eastAsia="en-GB"/>
              </w:rPr>
            </w:pPr>
            <w:r w:rsidRPr="00810477">
              <w:rPr>
                <w:rFonts w:ascii="Arial" w:hAnsi="Arial" w:cs="Arial"/>
                <w:sz w:val="20"/>
                <w:lang w:eastAsia="en-GB"/>
              </w:rPr>
              <w:t>Torfaen</w:t>
            </w:r>
          </w:p>
        </w:tc>
        <w:tc>
          <w:tcPr>
            <w:tcW w:w="1805" w:type="dxa"/>
            <w:shd w:val="solid" w:color="FFFFFF" w:fill="auto"/>
            <w:vAlign w:val="bottom"/>
          </w:tcPr>
          <w:p w14:paraId="7F5BDAA5" w14:textId="20F752C1" w:rsidR="00EF7564" w:rsidRPr="00810477" w:rsidRDefault="00EF7564" w:rsidP="00EF7564">
            <w:pPr>
              <w:autoSpaceDE w:val="0"/>
              <w:autoSpaceDN w:val="0"/>
              <w:adjustRightInd w:val="0"/>
              <w:jc w:val="right"/>
              <w:rPr>
                <w:rFonts w:ascii="Arial" w:hAnsi="Arial" w:cs="Arial"/>
                <w:sz w:val="20"/>
                <w:lang w:eastAsia="en-GB"/>
              </w:rPr>
            </w:pPr>
            <w:r>
              <w:rPr>
                <w:rFonts w:ascii="Arial" w:hAnsi="Arial" w:cs="Arial"/>
                <w:color w:val="000000"/>
                <w:sz w:val="20"/>
              </w:rPr>
              <w:t>146,560</w:t>
            </w:r>
          </w:p>
        </w:tc>
        <w:tc>
          <w:tcPr>
            <w:tcW w:w="1805" w:type="dxa"/>
            <w:shd w:val="solid" w:color="FFFFFF" w:fill="auto"/>
            <w:vAlign w:val="bottom"/>
          </w:tcPr>
          <w:p w14:paraId="0544108C" w14:textId="5AF02359" w:rsidR="00EF7564" w:rsidRPr="00810477" w:rsidRDefault="00EF7564" w:rsidP="00EF7564">
            <w:pPr>
              <w:autoSpaceDE w:val="0"/>
              <w:autoSpaceDN w:val="0"/>
              <w:adjustRightInd w:val="0"/>
              <w:jc w:val="right"/>
              <w:rPr>
                <w:rFonts w:ascii="Arial" w:hAnsi="Arial" w:cs="Arial"/>
                <w:sz w:val="20"/>
                <w:lang w:eastAsia="en-GB"/>
              </w:rPr>
            </w:pPr>
            <w:r>
              <w:rPr>
                <w:rFonts w:ascii="Arial" w:hAnsi="Arial" w:cs="Arial"/>
                <w:color w:val="000000"/>
                <w:sz w:val="20"/>
              </w:rPr>
              <w:t>160,120</w:t>
            </w:r>
          </w:p>
        </w:tc>
        <w:tc>
          <w:tcPr>
            <w:tcW w:w="1806" w:type="dxa"/>
            <w:shd w:val="solid" w:color="FFFFFF" w:fill="auto"/>
            <w:vAlign w:val="bottom"/>
          </w:tcPr>
          <w:p w14:paraId="48A56843" w14:textId="05B208B2" w:rsidR="00EF7564" w:rsidRPr="00810477" w:rsidRDefault="00EF7564" w:rsidP="00EF7564">
            <w:pPr>
              <w:autoSpaceDE w:val="0"/>
              <w:autoSpaceDN w:val="0"/>
              <w:adjustRightInd w:val="0"/>
              <w:jc w:val="right"/>
              <w:rPr>
                <w:rFonts w:ascii="Arial" w:hAnsi="Arial" w:cs="Arial"/>
                <w:sz w:val="20"/>
                <w:lang w:eastAsia="en-GB"/>
              </w:rPr>
            </w:pPr>
            <w:r>
              <w:rPr>
                <w:rFonts w:ascii="Arial" w:hAnsi="Arial" w:cs="Arial"/>
                <w:color w:val="000000"/>
                <w:sz w:val="20"/>
              </w:rPr>
              <w:t>9.3%</w:t>
            </w:r>
          </w:p>
        </w:tc>
        <w:tc>
          <w:tcPr>
            <w:tcW w:w="1805" w:type="dxa"/>
            <w:shd w:val="solid" w:color="FFFFFF" w:fill="auto"/>
            <w:vAlign w:val="bottom"/>
          </w:tcPr>
          <w:p w14:paraId="19884F67" w14:textId="6B8F7229" w:rsidR="00EF7564" w:rsidRPr="00810477" w:rsidRDefault="00EF7564" w:rsidP="00EF7564">
            <w:pPr>
              <w:autoSpaceDE w:val="0"/>
              <w:autoSpaceDN w:val="0"/>
              <w:adjustRightInd w:val="0"/>
              <w:jc w:val="right"/>
              <w:rPr>
                <w:rFonts w:ascii="Arial" w:hAnsi="Arial" w:cs="Arial"/>
                <w:sz w:val="20"/>
                <w:lang w:eastAsia="en-GB"/>
              </w:rPr>
            </w:pPr>
            <w:r>
              <w:rPr>
                <w:rFonts w:ascii="Arial" w:hAnsi="Arial" w:cs="Arial"/>
                <w:color w:val="000000"/>
                <w:sz w:val="20"/>
              </w:rPr>
              <w:t>10</w:t>
            </w:r>
          </w:p>
        </w:tc>
        <w:tc>
          <w:tcPr>
            <w:tcW w:w="1806" w:type="dxa"/>
            <w:shd w:val="solid" w:color="FFFFFF" w:fill="auto"/>
            <w:vAlign w:val="bottom"/>
          </w:tcPr>
          <w:p w14:paraId="41B83942" w14:textId="680A36B3" w:rsidR="00EF7564" w:rsidRPr="00810477" w:rsidRDefault="00EF7564" w:rsidP="00EF7564">
            <w:pPr>
              <w:autoSpaceDE w:val="0"/>
              <w:autoSpaceDN w:val="0"/>
              <w:adjustRightInd w:val="0"/>
              <w:jc w:val="right"/>
              <w:rPr>
                <w:rFonts w:ascii="Arial" w:hAnsi="Arial" w:cs="Arial"/>
                <w:sz w:val="20"/>
                <w:lang w:eastAsia="en-GB"/>
              </w:rPr>
            </w:pPr>
            <w:r>
              <w:rPr>
                <w:rFonts w:ascii="Arial" w:hAnsi="Arial" w:cs="Arial"/>
                <w:color w:val="000000"/>
                <w:sz w:val="20"/>
              </w:rPr>
              <w:t xml:space="preserve">                  8,500 </w:t>
            </w:r>
          </w:p>
        </w:tc>
      </w:tr>
      <w:tr w:rsidR="00EF7564" w:rsidRPr="00810477" w14:paraId="26012DCA" w14:textId="77777777" w:rsidTr="00BE5BE5">
        <w:trPr>
          <w:trHeight w:val="259"/>
        </w:trPr>
        <w:tc>
          <w:tcPr>
            <w:tcW w:w="2455" w:type="dxa"/>
            <w:shd w:val="solid" w:color="FFFFFF" w:fill="auto"/>
            <w:vAlign w:val="center"/>
          </w:tcPr>
          <w:p w14:paraId="763F01B2" w14:textId="77777777" w:rsidR="00EF7564" w:rsidRPr="00810477" w:rsidRDefault="00EF7564" w:rsidP="00EF7564">
            <w:pPr>
              <w:autoSpaceDE w:val="0"/>
              <w:autoSpaceDN w:val="0"/>
              <w:adjustRightInd w:val="0"/>
              <w:rPr>
                <w:rFonts w:ascii="Arial" w:hAnsi="Arial" w:cs="Arial"/>
                <w:sz w:val="20"/>
                <w:lang w:eastAsia="en-GB"/>
              </w:rPr>
            </w:pPr>
            <w:r w:rsidRPr="00810477">
              <w:rPr>
                <w:rFonts w:ascii="Arial" w:hAnsi="Arial" w:cs="Arial"/>
                <w:sz w:val="20"/>
                <w:lang w:eastAsia="en-GB"/>
              </w:rPr>
              <w:t>Monmouthshire</w:t>
            </w:r>
          </w:p>
        </w:tc>
        <w:tc>
          <w:tcPr>
            <w:tcW w:w="1805" w:type="dxa"/>
            <w:shd w:val="solid" w:color="FFFFFF" w:fill="auto"/>
            <w:vAlign w:val="bottom"/>
          </w:tcPr>
          <w:p w14:paraId="76EF9469" w14:textId="4FE8C844" w:rsidR="00EF7564" w:rsidRPr="00810477" w:rsidRDefault="00EF7564" w:rsidP="00EF7564">
            <w:pPr>
              <w:autoSpaceDE w:val="0"/>
              <w:autoSpaceDN w:val="0"/>
              <w:adjustRightInd w:val="0"/>
              <w:jc w:val="right"/>
              <w:rPr>
                <w:rFonts w:ascii="Arial" w:hAnsi="Arial" w:cs="Arial"/>
                <w:sz w:val="20"/>
                <w:lang w:eastAsia="en-GB"/>
              </w:rPr>
            </w:pPr>
            <w:r>
              <w:rPr>
                <w:rFonts w:ascii="Arial" w:hAnsi="Arial" w:cs="Arial"/>
                <w:color w:val="000000"/>
                <w:sz w:val="20"/>
              </w:rPr>
              <w:t>101,003</w:t>
            </w:r>
          </w:p>
        </w:tc>
        <w:tc>
          <w:tcPr>
            <w:tcW w:w="1805" w:type="dxa"/>
            <w:shd w:val="solid" w:color="FFFFFF" w:fill="auto"/>
            <w:vAlign w:val="bottom"/>
          </w:tcPr>
          <w:p w14:paraId="0F1813D9" w14:textId="24F0EAF5" w:rsidR="00EF7564" w:rsidRPr="00810477" w:rsidRDefault="00EF7564" w:rsidP="00EF7564">
            <w:pPr>
              <w:autoSpaceDE w:val="0"/>
              <w:autoSpaceDN w:val="0"/>
              <w:adjustRightInd w:val="0"/>
              <w:jc w:val="right"/>
              <w:rPr>
                <w:rFonts w:ascii="Arial" w:hAnsi="Arial" w:cs="Arial"/>
                <w:sz w:val="20"/>
                <w:lang w:eastAsia="en-GB"/>
              </w:rPr>
            </w:pPr>
            <w:r>
              <w:rPr>
                <w:rFonts w:ascii="Arial" w:hAnsi="Arial" w:cs="Arial"/>
                <w:color w:val="000000"/>
                <w:sz w:val="20"/>
              </w:rPr>
              <w:t>112,278</w:t>
            </w:r>
          </w:p>
        </w:tc>
        <w:tc>
          <w:tcPr>
            <w:tcW w:w="1806" w:type="dxa"/>
            <w:shd w:val="solid" w:color="FFFFFF" w:fill="auto"/>
            <w:vAlign w:val="bottom"/>
          </w:tcPr>
          <w:p w14:paraId="7F67987C" w14:textId="2F2B5774" w:rsidR="00EF7564" w:rsidRPr="00810477" w:rsidRDefault="00EF7564" w:rsidP="00EF7564">
            <w:pPr>
              <w:autoSpaceDE w:val="0"/>
              <w:autoSpaceDN w:val="0"/>
              <w:adjustRightInd w:val="0"/>
              <w:jc w:val="right"/>
              <w:rPr>
                <w:rFonts w:ascii="Arial" w:hAnsi="Arial" w:cs="Arial"/>
                <w:sz w:val="20"/>
                <w:lang w:eastAsia="en-GB"/>
              </w:rPr>
            </w:pPr>
            <w:r>
              <w:rPr>
                <w:rFonts w:ascii="Arial" w:hAnsi="Arial" w:cs="Arial"/>
                <w:color w:val="000000"/>
                <w:sz w:val="20"/>
              </w:rPr>
              <w:t>11.2%</w:t>
            </w:r>
          </w:p>
        </w:tc>
        <w:tc>
          <w:tcPr>
            <w:tcW w:w="1805" w:type="dxa"/>
            <w:shd w:val="solid" w:color="FFFFFF" w:fill="auto"/>
            <w:vAlign w:val="bottom"/>
          </w:tcPr>
          <w:p w14:paraId="12FC4DD3" w14:textId="30B80A8E" w:rsidR="00EF7564" w:rsidRPr="00810477" w:rsidRDefault="00EF7564" w:rsidP="00EF7564">
            <w:pPr>
              <w:autoSpaceDE w:val="0"/>
              <w:autoSpaceDN w:val="0"/>
              <w:adjustRightInd w:val="0"/>
              <w:jc w:val="right"/>
              <w:rPr>
                <w:rFonts w:ascii="Arial" w:hAnsi="Arial" w:cs="Arial"/>
                <w:sz w:val="20"/>
                <w:lang w:eastAsia="en-GB"/>
              </w:rPr>
            </w:pPr>
            <w:r>
              <w:rPr>
                <w:rFonts w:ascii="Arial" w:hAnsi="Arial" w:cs="Arial"/>
                <w:color w:val="000000"/>
                <w:sz w:val="20"/>
              </w:rPr>
              <w:t>1</w:t>
            </w:r>
          </w:p>
        </w:tc>
        <w:tc>
          <w:tcPr>
            <w:tcW w:w="1806" w:type="dxa"/>
            <w:shd w:val="solid" w:color="FFFFFF" w:fill="auto"/>
            <w:vAlign w:val="bottom"/>
          </w:tcPr>
          <w:p w14:paraId="30A78760" w14:textId="63F2EAED" w:rsidR="00EF7564" w:rsidRPr="00810477" w:rsidRDefault="00EF7564" w:rsidP="00EF7564">
            <w:pPr>
              <w:autoSpaceDE w:val="0"/>
              <w:autoSpaceDN w:val="0"/>
              <w:adjustRightInd w:val="0"/>
              <w:jc w:val="right"/>
              <w:rPr>
                <w:rFonts w:ascii="Arial" w:hAnsi="Arial" w:cs="Arial"/>
                <w:sz w:val="20"/>
                <w:lang w:eastAsia="en-GB"/>
              </w:rPr>
            </w:pPr>
            <w:r>
              <w:rPr>
                <w:rFonts w:ascii="Arial" w:hAnsi="Arial" w:cs="Arial"/>
                <w:color w:val="000000"/>
                <w:sz w:val="20"/>
              </w:rPr>
              <w:t xml:space="preserve">                  5,918 </w:t>
            </w:r>
          </w:p>
        </w:tc>
      </w:tr>
      <w:tr w:rsidR="00EF7564" w:rsidRPr="00810477" w14:paraId="0B3E84D8" w14:textId="77777777" w:rsidTr="00BE5BE5">
        <w:trPr>
          <w:trHeight w:val="259"/>
        </w:trPr>
        <w:tc>
          <w:tcPr>
            <w:tcW w:w="2455" w:type="dxa"/>
            <w:shd w:val="solid" w:color="FFFFFF" w:fill="auto"/>
            <w:vAlign w:val="center"/>
          </w:tcPr>
          <w:p w14:paraId="164675E7" w14:textId="77777777" w:rsidR="00EF7564" w:rsidRPr="00810477" w:rsidRDefault="00EF7564" w:rsidP="00EF7564">
            <w:pPr>
              <w:autoSpaceDE w:val="0"/>
              <w:autoSpaceDN w:val="0"/>
              <w:adjustRightInd w:val="0"/>
              <w:rPr>
                <w:rFonts w:ascii="Arial" w:hAnsi="Arial" w:cs="Arial"/>
                <w:sz w:val="20"/>
                <w:lang w:eastAsia="en-GB"/>
              </w:rPr>
            </w:pPr>
            <w:r w:rsidRPr="00810477">
              <w:rPr>
                <w:rFonts w:ascii="Arial" w:hAnsi="Arial" w:cs="Arial"/>
                <w:sz w:val="20"/>
                <w:lang w:eastAsia="en-GB"/>
              </w:rPr>
              <w:t>Newport</w:t>
            </w:r>
          </w:p>
        </w:tc>
        <w:tc>
          <w:tcPr>
            <w:tcW w:w="1805" w:type="dxa"/>
            <w:shd w:val="solid" w:color="FFFFFF" w:fill="auto"/>
            <w:vAlign w:val="bottom"/>
          </w:tcPr>
          <w:p w14:paraId="4EEB3404" w14:textId="31353B7A" w:rsidR="00EF7564" w:rsidRPr="00810477" w:rsidRDefault="00EF7564" w:rsidP="00EF7564">
            <w:pPr>
              <w:autoSpaceDE w:val="0"/>
              <w:autoSpaceDN w:val="0"/>
              <w:adjustRightInd w:val="0"/>
              <w:jc w:val="right"/>
              <w:rPr>
                <w:rFonts w:ascii="Arial" w:hAnsi="Arial" w:cs="Arial"/>
                <w:sz w:val="20"/>
                <w:lang w:eastAsia="en-GB"/>
              </w:rPr>
            </w:pPr>
            <w:r>
              <w:rPr>
                <w:rFonts w:ascii="Arial" w:hAnsi="Arial" w:cs="Arial"/>
                <w:color w:val="000000"/>
                <w:sz w:val="20"/>
              </w:rPr>
              <w:t>240,957</w:t>
            </w:r>
          </w:p>
        </w:tc>
        <w:tc>
          <w:tcPr>
            <w:tcW w:w="1805" w:type="dxa"/>
            <w:shd w:val="solid" w:color="FFFFFF" w:fill="auto"/>
            <w:vAlign w:val="bottom"/>
          </w:tcPr>
          <w:p w14:paraId="147CD107" w14:textId="4B139EAB" w:rsidR="00EF7564" w:rsidRPr="00810477" w:rsidRDefault="00EF7564" w:rsidP="00EF7564">
            <w:pPr>
              <w:autoSpaceDE w:val="0"/>
              <w:autoSpaceDN w:val="0"/>
              <w:adjustRightInd w:val="0"/>
              <w:jc w:val="right"/>
              <w:rPr>
                <w:rFonts w:ascii="Arial" w:hAnsi="Arial" w:cs="Arial"/>
                <w:sz w:val="20"/>
                <w:lang w:eastAsia="en-GB"/>
              </w:rPr>
            </w:pPr>
            <w:r>
              <w:rPr>
                <w:rFonts w:ascii="Arial" w:hAnsi="Arial" w:cs="Arial"/>
                <w:color w:val="000000"/>
                <w:sz w:val="20"/>
              </w:rPr>
              <w:t>265,617</w:t>
            </w:r>
          </w:p>
        </w:tc>
        <w:tc>
          <w:tcPr>
            <w:tcW w:w="1806" w:type="dxa"/>
            <w:shd w:val="solid" w:color="FFFFFF" w:fill="auto"/>
            <w:vAlign w:val="bottom"/>
          </w:tcPr>
          <w:p w14:paraId="255DA48B" w14:textId="605AED93" w:rsidR="00EF7564" w:rsidRPr="00810477" w:rsidRDefault="00EF7564" w:rsidP="00EF7564">
            <w:pPr>
              <w:autoSpaceDE w:val="0"/>
              <w:autoSpaceDN w:val="0"/>
              <w:adjustRightInd w:val="0"/>
              <w:jc w:val="right"/>
              <w:rPr>
                <w:rFonts w:ascii="Arial" w:hAnsi="Arial" w:cs="Arial"/>
                <w:sz w:val="20"/>
                <w:lang w:eastAsia="en-GB"/>
              </w:rPr>
            </w:pPr>
            <w:r>
              <w:rPr>
                <w:rFonts w:ascii="Arial" w:hAnsi="Arial" w:cs="Arial"/>
                <w:color w:val="000000"/>
                <w:sz w:val="20"/>
              </w:rPr>
              <w:t>10.2%</w:t>
            </w:r>
          </w:p>
        </w:tc>
        <w:tc>
          <w:tcPr>
            <w:tcW w:w="1805" w:type="dxa"/>
            <w:shd w:val="solid" w:color="FFFFFF" w:fill="auto"/>
            <w:vAlign w:val="bottom"/>
          </w:tcPr>
          <w:p w14:paraId="4548EE06" w14:textId="1BE68E4F" w:rsidR="00EF7564" w:rsidRPr="00810477" w:rsidRDefault="00EF7564" w:rsidP="00EF7564">
            <w:pPr>
              <w:autoSpaceDE w:val="0"/>
              <w:autoSpaceDN w:val="0"/>
              <w:adjustRightInd w:val="0"/>
              <w:jc w:val="right"/>
              <w:rPr>
                <w:rFonts w:ascii="Arial" w:hAnsi="Arial" w:cs="Arial"/>
                <w:sz w:val="20"/>
                <w:lang w:eastAsia="en-GB"/>
              </w:rPr>
            </w:pPr>
            <w:r>
              <w:rPr>
                <w:rFonts w:ascii="Arial" w:hAnsi="Arial" w:cs="Arial"/>
                <w:color w:val="000000"/>
                <w:sz w:val="20"/>
              </w:rPr>
              <w:t>4</w:t>
            </w:r>
          </w:p>
        </w:tc>
        <w:tc>
          <w:tcPr>
            <w:tcW w:w="1806" w:type="dxa"/>
            <w:shd w:val="solid" w:color="FFFFFF" w:fill="auto"/>
            <w:vAlign w:val="bottom"/>
          </w:tcPr>
          <w:p w14:paraId="4BE0D454" w14:textId="11AFF8FB" w:rsidR="00EF7564" w:rsidRPr="00810477" w:rsidRDefault="00EF7564" w:rsidP="00EF7564">
            <w:pPr>
              <w:autoSpaceDE w:val="0"/>
              <w:autoSpaceDN w:val="0"/>
              <w:adjustRightInd w:val="0"/>
              <w:jc w:val="right"/>
              <w:rPr>
                <w:rFonts w:ascii="Arial" w:hAnsi="Arial" w:cs="Arial"/>
                <w:sz w:val="20"/>
                <w:lang w:eastAsia="en-GB"/>
              </w:rPr>
            </w:pPr>
            <w:r>
              <w:rPr>
                <w:rFonts w:ascii="Arial" w:hAnsi="Arial" w:cs="Arial"/>
                <w:color w:val="000000"/>
                <w:sz w:val="20"/>
              </w:rPr>
              <w:t xml:space="preserve">                 10,337 </w:t>
            </w:r>
          </w:p>
        </w:tc>
      </w:tr>
      <w:tr w:rsidR="00EF7564" w:rsidRPr="00810477" w14:paraId="26CF96B9" w14:textId="77777777" w:rsidTr="00BE5BE5">
        <w:trPr>
          <w:trHeight w:val="259"/>
        </w:trPr>
        <w:tc>
          <w:tcPr>
            <w:tcW w:w="2455" w:type="dxa"/>
            <w:tcBorders>
              <w:bottom w:val="single" w:sz="4" w:space="0" w:color="auto"/>
            </w:tcBorders>
            <w:shd w:val="solid" w:color="FFFFFF" w:fill="auto"/>
            <w:vAlign w:val="center"/>
          </w:tcPr>
          <w:p w14:paraId="787AFC47" w14:textId="77777777" w:rsidR="00EF7564" w:rsidRPr="00810477" w:rsidRDefault="00EF7564" w:rsidP="00EF7564">
            <w:pPr>
              <w:autoSpaceDE w:val="0"/>
              <w:autoSpaceDN w:val="0"/>
              <w:adjustRightInd w:val="0"/>
              <w:rPr>
                <w:rFonts w:ascii="Arial" w:hAnsi="Arial" w:cs="Arial"/>
                <w:sz w:val="20"/>
                <w:lang w:eastAsia="en-GB"/>
              </w:rPr>
            </w:pPr>
            <w:r w:rsidRPr="00810477">
              <w:rPr>
                <w:rFonts w:ascii="Arial" w:hAnsi="Arial" w:cs="Arial"/>
                <w:sz w:val="20"/>
                <w:lang w:eastAsia="en-GB"/>
              </w:rPr>
              <w:t>Cardiff</w:t>
            </w:r>
          </w:p>
        </w:tc>
        <w:tc>
          <w:tcPr>
            <w:tcW w:w="1805" w:type="dxa"/>
            <w:tcBorders>
              <w:bottom w:val="single" w:sz="4" w:space="0" w:color="auto"/>
            </w:tcBorders>
            <w:shd w:val="solid" w:color="FFFFFF" w:fill="auto"/>
            <w:vAlign w:val="bottom"/>
          </w:tcPr>
          <w:p w14:paraId="59E2860F" w14:textId="07A370C3" w:rsidR="00EF7564" w:rsidRPr="00810477" w:rsidRDefault="00EF7564" w:rsidP="00EF7564">
            <w:pPr>
              <w:autoSpaceDE w:val="0"/>
              <w:autoSpaceDN w:val="0"/>
              <w:adjustRightInd w:val="0"/>
              <w:jc w:val="right"/>
              <w:rPr>
                <w:rFonts w:ascii="Arial" w:hAnsi="Arial" w:cs="Arial"/>
                <w:sz w:val="20"/>
                <w:lang w:eastAsia="en-GB"/>
              </w:rPr>
            </w:pPr>
            <w:r>
              <w:rPr>
                <w:rFonts w:ascii="Arial" w:hAnsi="Arial" w:cs="Arial"/>
                <w:color w:val="000000"/>
                <w:sz w:val="20"/>
              </w:rPr>
              <w:t>492,095</w:t>
            </w:r>
          </w:p>
        </w:tc>
        <w:tc>
          <w:tcPr>
            <w:tcW w:w="1805" w:type="dxa"/>
            <w:tcBorders>
              <w:bottom w:val="single" w:sz="4" w:space="0" w:color="auto"/>
            </w:tcBorders>
            <w:shd w:val="solid" w:color="FFFFFF" w:fill="auto"/>
            <w:vAlign w:val="bottom"/>
          </w:tcPr>
          <w:p w14:paraId="54914079" w14:textId="7CBBE2B8" w:rsidR="00EF7564" w:rsidRPr="00810477" w:rsidRDefault="00EF7564" w:rsidP="00EF7564">
            <w:pPr>
              <w:autoSpaceDE w:val="0"/>
              <w:autoSpaceDN w:val="0"/>
              <w:adjustRightInd w:val="0"/>
              <w:jc w:val="right"/>
              <w:rPr>
                <w:rFonts w:ascii="Arial" w:hAnsi="Arial" w:cs="Arial"/>
                <w:sz w:val="20"/>
                <w:lang w:eastAsia="en-GB"/>
              </w:rPr>
            </w:pPr>
            <w:r>
              <w:rPr>
                <w:rFonts w:ascii="Arial" w:hAnsi="Arial" w:cs="Arial"/>
                <w:color w:val="000000"/>
                <w:sz w:val="20"/>
              </w:rPr>
              <w:t>544,726</w:t>
            </w:r>
          </w:p>
        </w:tc>
        <w:tc>
          <w:tcPr>
            <w:tcW w:w="1806" w:type="dxa"/>
            <w:tcBorders>
              <w:bottom w:val="single" w:sz="4" w:space="0" w:color="auto"/>
            </w:tcBorders>
            <w:shd w:val="solid" w:color="FFFFFF" w:fill="auto"/>
            <w:vAlign w:val="bottom"/>
          </w:tcPr>
          <w:p w14:paraId="706179A2" w14:textId="40794334" w:rsidR="00EF7564" w:rsidRPr="00810477" w:rsidRDefault="00EF7564" w:rsidP="00EF7564">
            <w:pPr>
              <w:autoSpaceDE w:val="0"/>
              <w:autoSpaceDN w:val="0"/>
              <w:adjustRightInd w:val="0"/>
              <w:jc w:val="right"/>
              <w:rPr>
                <w:rFonts w:ascii="Arial" w:hAnsi="Arial" w:cs="Arial"/>
                <w:sz w:val="20"/>
                <w:lang w:eastAsia="en-GB"/>
              </w:rPr>
            </w:pPr>
            <w:r>
              <w:rPr>
                <w:rFonts w:ascii="Arial" w:hAnsi="Arial" w:cs="Arial"/>
                <w:color w:val="000000"/>
                <w:sz w:val="20"/>
              </w:rPr>
              <w:t>10.7%</w:t>
            </w:r>
          </w:p>
        </w:tc>
        <w:tc>
          <w:tcPr>
            <w:tcW w:w="1805" w:type="dxa"/>
            <w:tcBorders>
              <w:bottom w:val="single" w:sz="4" w:space="0" w:color="auto"/>
            </w:tcBorders>
            <w:shd w:val="solid" w:color="FFFFFF" w:fill="auto"/>
            <w:vAlign w:val="bottom"/>
          </w:tcPr>
          <w:p w14:paraId="782C2BD6" w14:textId="2A1B5B96" w:rsidR="00EF7564" w:rsidRPr="00810477" w:rsidRDefault="00EF7564" w:rsidP="00EF7564">
            <w:pPr>
              <w:autoSpaceDE w:val="0"/>
              <w:autoSpaceDN w:val="0"/>
              <w:adjustRightInd w:val="0"/>
              <w:jc w:val="right"/>
              <w:rPr>
                <w:rFonts w:ascii="Arial" w:hAnsi="Arial" w:cs="Arial"/>
                <w:sz w:val="20"/>
                <w:lang w:eastAsia="en-GB"/>
              </w:rPr>
            </w:pPr>
            <w:r>
              <w:rPr>
                <w:rFonts w:ascii="Arial" w:hAnsi="Arial" w:cs="Arial"/>
                <w:color w:val="000000"/>
                <w:sz w:val="20"/>
              </w:rPr>
              <w:t>2</w:t>
            </w:r>
          </w:p>
        </w:tc>
        <w:tc>
          <w:tcPr>
            <w:tcW w:w="1806" w:type="dxa"/>
            <w:tcBorders>
              <w:bottom w:val="single" w:sz="4" w:space="0" w:color="auto"/>
            </w:tcBorders>
            <w:shd w:val="solid" w:color="FFFFFF" w:fill="auto"/>
            <w:vAlign w:val="bottom"/>
          </w:tcPr>
          <w:p w14:paraId="33A046F9" w14:textId="4B4F58E4" w:rsidR="00EF7564" w:rsidRPr="00810477" w:rsidRDefault="00EF7564" w:rsidP="00EF7564">
            <w:pPr>
              <w:autoSpaceDE w:val="0"/>
              <w:autoSpaceDN w:val="0"/>
              <w:adjustRightInd w:val="0"/>
              <w:jc w:val="right"/>
              <w:rPr>
                <w:rFonts w:ascii="Arial" w:hAnsi="Arial" w:cs="Arial"/>
                <w:sz w:val="20"/>
                <w:lang w:eastAsia="en-GB"/>
              </w:rPr>
            </w:pPr>
            <w:r>
              <w:rPr>
                <w:rFonts w:ascii="Arial" w:hAnsi="Arial" w:cs="Arial"/>
                <w:color w:val="000000"/>
                <w:sz w:val="20"/>
              </w:rPr>
              <w:t xml:space="preserve">                 28,076 </w:t>
            </w:r>
          </w:p>
        </w:tc>
      </w:tr>
      <w:tr w:rsidR="00810477" w:rsidRPr="00810477" w14:paraId="1D991948" w14:textId="77777777" w:rsidTr="00BE5BE5">
        <w:trPr>
          <w:trHeight w:val="367"/>
        </w:trPr>
        <w:tc>
          <w:tcPr>
            <w:tcW w:w="2455" w:type="dxa"/>
            <w:tcBorders>
              <w:bottom w:val="single" w:sz="4" w:space="0" w:color="auto"/>
            </w:tcBorders>
            <w:shd w:val="solid" w:color="FFFFFF" w:fill="auto"/>
            <w:vAlign w:val="bottom"/>
          </w:tcPr>
          <w:p w14:paraId="04D61000" w14:textId="77777777" w:rsidR="00810477" w:rsidRPr="00810477" w:rsidRDefault="00810477" w:rsidP="00810477">
            <w:pPr>
              <w:autoSpaceDE w:val="0"/>
              <w:autoSpaceDN w:val="0"/>
              <w:adjustRightInd w:val="0"/>
              <w:rPr>
                <w:rFonts w:ascii="Arial" w:hAnsi="Arial" w:cs="Arial"/>
                <w:b/>
                <w:bCs/>
                <w:sz w:val="20"/>
                <w:lang w:eastAsia="en-GB"/>
              </w:rPr>
            </w:pPr>
            <w:r w:rsidRPr="00810477">
              <w:rPr>
                <w:rFonts w:ascii="Arial" w:hAnsi="Arial" w:cs="Arial"/>
                <w:b/>
                <w:bCs/>
                <w:sz w:val="20"/>
                <w:lang w:eastAsia="en-GB"/>
              </w:rPr>
              <w:t>All Unitary Authorities</w:t>
            </w:r>
          </w:p>
        </w:tc>
        <w:tc>
          <w:tcPr>
            <w:tcW w:w="1805" w:type="dxa"/>
            <w:tcBorders>
              <w:bottom w:val="single" w:sz="4" w:space="0" w:color="auto"/>
            </w:tcBorders>
            <w:shd w:val="solid" w:color="FFFFFF" w:fill="auto"/>
            <w:vAlign w:val="bottom"/>
          </w:tcPr>
          <w:p w14:paraId="189800D4" w14:textId="6B0E24B7" w:rsidR="00810477" w:rsidRPr="00810477" w:rsidRDefault="00810477" w:rsidP="00810477">
            <w:pPr>
              <w:autoSpaceDE w:val="0"/>
              <w:autoSpaceDN w:val="0"/>
              <w:adjustRightInd w:val="0"/>
              <w:jc w:val="right"/>
              <w:rPr>
                <w:rFonts w:ascii="Arial" w:hAnsi="Arial" w:cs="Arial"/>
                <w:b/>
                <w:sz w:val="20"/>
                <w:lang w:eastAsia="en-GB"/>
              </w:rPr>
            </w:pPr>
            <w:r>
              <w:rPr>
                <w:rFonts w:ascii="Arial" w:hAnsi="Arial" w:cs="Arial"/>
                <w:b/>
                <w:bCs/>
                <w:color w:val="000000"/>
                <w:sz w:val="20"/>
              </w:rPr>
              <w:t>4,670,080</w:t>
            </w:r>
          </w:p>
        </w:tc>
        <w:tc>
          <w:tcPr>
            <w:tcW w:w="1805" w:type="dxa"/>
            <w:tcBorders>
              <w:bottom w:val="single" w:sz="4" w:space="0" w:color="auto"/>
            </w:tcBorders>
            <w:shd w:val="solid" w:color="FFFFFF" w:fill="auto"/>
            <w:vAlign w:val="bottom"/>
          </w:tcPr>
          <w:p w14:paraId="42ADF041" w14:textId="2EF62267" w:rsidR="00810477" w:rsidRPr="00810477" w:rsidRDefault="006417EF" w:rsidP="00810477">
            <w:pPr>
              <w:autoSpaceDE w:val="0"/>
              <w:autoSpaceDN w:val="0"/>
              <w:adjustRightInd w:val="0"/>
              <w:jc w:val="right"/>
              <w:rPr>
                <w:rFonts w:ascii="Arial" w:hAnsi="Arial" w:cs="Arial"/>
                <w:b/>
                <w:sz w:val="20"/>
                <w:lang w:eastAsia="en-GB"/>
              </w:rPr>
            </w:pPr>
            <w:r w:rsidRPr="006417EF">
              <w:rPr>
                <w:rFonts w:ascii="Arial" w:hAnsi="Arial" w:cs="Arial"/>
                <w:b/>
                <w:bCs/>
                <w:color w:val="000000"/>
                <w:sz w:val="20"/>
              </w:rPr>
              <w:t>5,107,603</w:t>
            </w:r>
          </w:p>
        </w:tc>
        <w:tc>
          <w:tcPr>
            <w:tcW w:w="1806" w:type="dxa"/>
            <w:tcBorders>
              <w:bottom w:val="single" w:sz="4" w:space="0" w:color="auto"/>
            </w:tcBorders>
            <w:shd w:val="solid" w:color="FFFFFF" w:fill="auto"/>
            <w:vAlign w:val="bottom"/>
          </w:tcPr>
          <w:p w14:paraId="23250BCE" w14:textId="0AFF81FF" w:rsidR="00810477" w:rsidRPr="00810477" w:rsidRDefault="00810477" w:rsidP="00810477">
            <w:pPr>
              <w:autoSpaceDE w:val="0"/>
              <w:autoSpaceDN w:val="0"/>
              <w:adjustRightInd w:val="0"/>
              <w:jc w:val="right"/>
              <w:rPr>
                <w:rFonts w:ascii="Arial" w:hAnsi="Arial" w:cs="Arial"/>
                <w:b/>
                <w:bCs/>
                <w:sz w:val="20"/>
                <w:lang w:eastAsia="en-GB"/>
              </w:rPr>
            </w:pPr>
            <w:r>
              <w:rPr>
                <w:rFonts w:ascii="Arial" w:hAnsi="Arial" w:cs="Arial"/>
                <w:b/>
                <w:bCs/>
                <w:color w:val="000000"/>
                <w:sz w:val="20"/>
              </w:rPr>
              <w:t>9.4%</w:t>
            </w:r>
          </w:p>
        </w:tc>
        <w:tc>
          <w:tcPr>
            <w:tcW w:w="1805" w:type="dxa"/>
            <w:tcBorders>
              <w:bottom w:val="single" w:sz="4" w:space="0" w:color="auto"/>
            </w:tcBorders>
            <w:shd w:val="solid" w:color="FFFFFF" w:fill="auto"/>
            <w:vAlign w:val="bottom"/>
          </w:tcPr>
          <w:p w14:paraId="18EFCEAD" w14:textId="77777777" w:rsidR="00810477" w:rsidRPr="00810477" w:rsidRDefault="00810477" w:rsidP="00810477">
            <w:pPr>
              <w:autoSpaceDE w:val="0"/>
              <w:autoSpaceDN w:val="0"/>
              <w:adjustRightInd w:val="0"/>
              <w:jc w:val="right"/>
              <w:rPr>
                <w:rFonts w:ascii="Arial" w:hAnsi="Arial" w:cs="Arial"/>
                <w:b/>
                <w:bCs/>
                <w:sz w:val="20"/>
                <w:lang w:eastAsia="en-GB"/>
              </w:rPr>
            </w:pPr>
          </w:p>
        </w:tc>
        <w:tc>
          <w:tcPr>
            <w:tcW w:w="1806" w:type="dxa"/>
            <w:tcBorders>
              <w:bottom w:val="single" w:sz="4" w:space="0" w:color="auto"/>
            </w:tcBorders>
            <w:shd w:val="solid" w:color="FFFFFF" w:fill="auto"/>
            <w:vAlign w:val="bottom"/>
          </w:tcPr>
          <w:p w14:paraId="060C36A5" w14:textId="546A2E88" w:rsidR="00810477" w:rsidRPr="000964AF" w:rsidRDefault="00810477" w:rsidP="00810477">
            <w:pPr>
              <w:autoSpaceDE w:val="0"/>
              <w:autoSpaceDN w:val="0"/>
              <w:adjustRightInd w:val="0"/>
              <w:jc w:val="right"/>
              <w:rPr>
                <w:rFonts w:ascii="Arial" w:hAnsi="Arial" w:cs="Arial"/>
                <w:b/>
                <w:bCs/>
                <w:sz w:val="20"/>
                <w:lang w:eastAsia="en-GB"/>
              </w:rPr>
            </w:pPr>
            <w:r>
              <w:rPr>
                <w:rFonts w:ascii="Arial" w:hAnsi="Arial" w:cs="Arial"/>
                <w:color w:val="000000"/>
                <w:sz w:val="20"/>
              </w:rPr>
              <w:t xml:space="preserve">               </w:t>
            </w:r>
            <w:r w:rsidRPr="000964AF">
              <w:rPr>
                <w:rFonts w:ascii="Arial" w:hAnsi="Arial" w:cs="Arial"/>
                <w:b/>
                <w:color w:val="000000"/>
                <w:sz w:val="20"/>
              </w:rPr>
              <w:t xml:space="preserve">244,000 </w:t>
            </w:r>
          </w:p>
        </w:tc>
      </w:tr>
    </w:tbl>
    <w:p w14:paraId="156BA19F" w14:textId="77777777" w:rsidR="00154A32" w:rsidRPr="00810477" w:rsidRDefault="00154A32" w:rsidP="00154A32">
      <w:pPr>
        <w:spacing w:before="120"/>
        <w:rPr>
          <w:rFonts w:ascii="Arial" w:hAnsi="Arial" w:cs="Arial"/>
          <w:sz w:val="20"/>
          <w:lang w:eastAsia="en-GB"/>
        </w:rPr>
      </w:pPr>
      <w:r w:rsidRPr="00810477">
        <w:rPr>
          <w:rFonts w:ascii="Arial" w:hAnsi="Arial" w:cs="Arial"/>
          <w:sz w:val="20"/>
          <w:lang w:eastAsia="en-GB"/>
        </w:rPr>
        <w:t>Note: Total may not sum correctly due to rounding</w:t>
      </w:r>
    </w:p>
    <w:p w14:paraId="517CF530" w14:textId="094ED05D" w:rsidR="00154A32" w:rsidRPr="00154A32" w:rsidRDefault="00154A32" w:rsidP="00154A32">
      <w:pPr>
        <w:rPr>
          <w:rFonts w:ascii="Arial" w:hAnsi="Arial" w:cs="Arial"/>
          <w:sz w:val="24"/>
          <w:szCs w:val="24"/>
        </w:rPr>
      </w:pPr>
      <w:r w:rsidRPr="00810477">
        <w:rPr>
          <w:rFonts w:ascii="Arial" w:hAnsi="Arial" w:cs="Arial"/>
          <w:sz w:val="20"/>
          <w:lang w:eastAsia="en-GB"/>
        </w:rPr>
        <w:t>1</w:t>
      </w:r>
      <w:r w:rsidR="00556F69">
        <w:rPr>
          <w:rFonts w:ascii="Arial" w:hAnsi="Arial" w:cs="Arial"/>
          <w:sz w:val="20"/>
          <w:lang w:eastAsia="en-GB"/>
        </w:rPr>
        <w:t xml:space="preserve">.  </w:t>
      </w:r>
      <w:r w:rsidR="00BE5BE5" w:rsidRPr="00810477">
        <w:rPr>
          <w:rFonts w:ascii="Arial" w:hAnsi="Arial" w:cs="Arial"/>
          <w:sz w:val="20"/>
          <w:lang w:eastAsia="en-GB"/>
        </w:rPr>
        <w:t>202</w:t>
      </w:r>
      <w:r w:rsidR="00810477" w:rsidRPr="00810477">
        <w:rPr>
          <w:rFonts w:ascii="Arial" w:hAnsi="Arial" w:cs="Arial"/>
          <w:sz w:val="20"/>
          <w:lang w:eastAsia="en-GB"/>
        </w:rPr>
        <w:t>1</w:t>
      </w:r>
      <w:r w:rsidR="00BE5BE5" w:rsidRPr="00810477">
        <w:rPr>
          <w:rFonts w:ascii="Arial" w:hAnsi="Arial" w:cs="Arial"/>
          <w:sz w:val="20"/>
          <w:lang w:eastAsia="en-GB"/>
        </w:rPr>
        <w:t>-2</w:t>
      </w:r>
      <w:r w:rsidR="00810477" w:rsidRPr="00810477">
        <w:rPr>
          <w:rFonts w:ascii="Arial" w:hAnsi="Arial" w:cs="Arial"/>
          <w:sz w:val="20"/>
          <w:lang w:eastAsia="en-GB"/>
        </w:rPr>
        <w:t>2</w:t>
      </w:r>
      <w:r w:rsidRPr="00810477">
        <w:rPr>
          <w:rFonts w:ascii="Arial" w:hAnsi="Arial" w:cs="Arial"/>
          <w:sz w:val="20"/>
          <w:lang w:eastAsia="en-GB"/>
        </w:rPr>
        <w:t xml:space="preserve"> AEF adjusted transfers of £</w:t>
      </w:r>
      <w:r w:rsidR="00810477" w:rsidRPr="00810477">
        <w:rPr>
          <w:rFonts w:ascii="Arial" w:hAnsi="Arial" w:cs="Arial"/>
          <w:sz w:val="20"/>
          <w:lang w:eastAsia="en-GB"/>
        </w:rPr>
        <w:t>18</w:t>
      </w:r>
      <w:r w:rsidRPr="00810477">
        <w:rPr>
          <w:rFonts w:ascii="Arial" w:hAnsi="Arial" w:cs="Arial"/>
          <w:sz w:val="20"/>
          <w:lang w:eastAsia="en-GB"/>
        </w:rPr>
        <w:t>.</w:t>
      </w:r>
      <w:r w:rsidR="00810477" w:rsidRPr="00810477">
        <w:rPr>
          <w:rFonts w:ascii="Arial" w:hAnsi="Arial" w:cs="Arial"/>
          <w:sz w:val="20"/>
          <w:lang w:eastAsia="en-GB"/>
        </w:rPr>
        <w:t>585</w:t>
      </w:r>
      <w:r w:rsidRPr="00810477">
        <w:rPr>
          <w:rFonts w:ascii="Arial" w:hAnsi="Arial" w:cs="Arial"/>
          <w:sz w:val="20"/>
          <w:lang w:eastAsia="en-GB"/>
        </w:rPr>
        <w:t xml:space="preserve">m (at </w:t>
      </w:r>
      <w:r w:rsidR="00BE5BE5" w:rsidRPr="00810477">
        <w:rPr>
          <w:rFonts w:ascii="Arial" w:hAnsi="Arial" w:cs="Arial"/>
          <w:sz w:val="20"/>
          <w:lang w:eastAsia="en-GB"/>
        </w:rPr>
        <w:t>202</w:t>
      </w:r>
      <w:r w:rsidR="00810477" w:rsidRPr="00810477">
        <w:rPr>
          <w:rFonts w:ascii="Arial" w:hAnsi="Arial" w:cs="Arial"/>
          <w:sz w:val="20"/>
          <w:lang w:eastAsia="en-GB"/>
        </w:rPr>
        <w:t>1</w:t>
      </w:r>
      <w:r w:rsidR="00BE5BE5" w:rsidRPr="00810477">
        <w:rPr>
          <w:rFonts w:ascii="Arial" w:hAnsi="Arial" w:cs="Arial"/>
          <w:sz w:val="20"/>
          <w:lang w:eastAsia="en-GB"/>
        </w:rPr>
        <w:t>-2</w:t>
      </w:r>
      <w:r w:rsidR="00810477" w:rsidRPr="00810477">
        <w:rPr>
          <w:rFonts w:ascii="Arial" w:hAnsi="Arial" w:cs="Arial"/>
          <w:sz w:val="20"/>
          <w:lang w:eastAsia="en-GB"/>
        </w:rPr>
        <w:t>2</w:t>
      </w:r>
      <w:r w:rsidRPr="00810477">
        <w:rPr>
          <w:rFonts w:ascii="Arial" w:hAnsi="Arial" w:cs="Arial"/>
          <w:sz w:val="20"/>
          <w:lang w:eastAsia="en-GB"/>
        </w:rPr>
        <w:t xml:space="preserve"> prices) into </w:t>
      </w:r>
      <w:r w:rsidR="00810477" w:rsidRPr="00810477">
        <w:rPr>
          <w:rFonts w:ascii="Arial" w:hAnsi="Arial" w:cs="Arial"/>
          <w:sz w:val="20"/>
          <w:lang w:eastAsia="en-GB"/>
        </w:rPr>
        <w:t xml:space="preserve">and out of </w:t>
      </w:r>
      <w:r w:rsidRPr="00810477">
        <w:rPr>
          <w:rFonts w:ascii="Arial" w:hAnsi="Arial" w:cs="Arial"/>
          <w:sz w:val="20"/>
          <w:lang w:eastAsia="en-GB"/>
        </w:rPr>
        <w:t xml:space="preserve">the </w:t>
      </w:r>
      <w:r w:rsidR="00D132F6">
        <w:rPr>
          <w:rFonts w:ascii="Arial" w:hAnsi="Arial" w:cs="Arial"/>
          <w:sz w:val="20"/>
          <w:lang w:eastAsia="en-GB"/>
        </w:rPr>
        <w:t>S</w:t>
      </w:r>
      <w:r w:rsidRPr="00810477">
        <w:rPr>
          <w:rFonts w:ascii="Arial" w:hAnsi="Arial" w:cs="Arial"/>
          <w:sz w:val="20"/>
          <w:lang w:eastAsia="en-GB"/>
        </w:rPr>
        <w:t>ettlement</w:t>
      </w:r>
      <w:r w:rsidR="00810477">
        <w:rPr>
          <w:rFonts w:ascii="Arial" w:hAnsi="Arial" w:cs="Arial"/>
          <w:sz w:val="20"/>
          <w:lang w:eastAsia="en-GB"/>
        </w:rPr>
        <w:t xml:space="preserve"> and for the latest, 2022-23 tax base.</w:t>
      </w:r>
    </w:p>
    <w:sectPr w:rsidR="00154A32" w:rsidRPr="00154A32" w:rsidSect="009756D9">
      <w:headerReference w:type="first" r:id="rId14"/>
      <w:pgSz w:w="16838" w:h="11906" w:orient="landscape" w:code="9"/>
      <w:pgMar w:top="1134" w:right="1134" w:bottom="1134" w:left="1134" w:header="284" w:footer="28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D49F4B" w14:textId="77777777" w:rsidR="00585889" w:rsidRDefault="00585889">
      <w:r>
        <w:separator/>
      </w:r>
    </w:p>
  </w:endnote>
  <w:endnote w:type="continuationSeparator" w:id="0">
    <w:p w14:paraId="1BF9AFF1" w14:textId="77777777" w:rsidR="00585889" w:rsidRDefault="00585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397F9E" w14:textId="77777777" w:rsidR="00585889" w:rsidRDefault="00585889">
      <w:r>
        <w:separator/>
      </w:r>
    </w:p>
  </w:footnote>
  <w:footnote w:type="continuationSeparator" w:id="0">
    <w:p w14:paraId="14E25C9F" w14:textId="77777777" w:rsidR="00585889" w:rsidRDefault="005858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C8A52" w14:textId="4CFA70B2" w:rsidR="006353A0" w:rsidRDefault="006353A0" w:rsidP="00806E47">
    <w:r>
      <w:rPr>
        <w:noProof/>
        <w:lang w:eastAsia="en-GB"/>
      </w:rPr>
      <w:drawing>
        <wp:anchor distT="0" distB="0" distL="114300" distR="114300" simplePos="0" relativeHeight="251659264" behindDoc="1" locked="0" layoutInCell="1" allowOverlap="1" wp14:anchorId="418ECD70" wp14:editId="1E6C07AC">
          <wp:simplePos x="0" y="0"/>
          <wp:positionH relativeFrom="column">
            <wp:posOffset>4637405</wp:posOffset>
          </wp:positionH>
          <wp:positionV relativeFrom="paragraph">
            <wp:posOffset>-111760</wp:posOffset>
          </wp:positionV>
          <wp:extent cx="1476375" cy="1400175"/>
          <wp:effectExtent l="0" t="0" r="9525" b="9525"/>
          <wp:wrapNone/>
          <wp:docPr id="5" name="Picture 5" descr="Welsh Government logo&#10;Logo Llywodraeth Cym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509364CC" w14:textId="77777777" w:rsidR="006353A0" w:rsidRDefault="006353A0" w:rsidP="006353A0">
    <w:pPr>
      <w:pStyle w:val="Header"/>
    </w:pPr>
  </w:p>
  <w:p w14:paraId="5C858E72" w14:textId="77777777" w:rsidR="003719A7" w:rsidRPr="006353A0" w:rsidRDefault="003719A7" w:rsidP="006353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6D0234" w14:textId="77777777" w:rsidR="005807FA" w:rsidRDefault="0059227F"/>
  <w:p w14:paraId="52FA5151" w14:textId="77777777" w:rsidR="005807FA" w:rsidRDefault="0059227F">
    <w:pPr>
      <w:pStyle w:val="Header"/>
    </w:pPr>
  </w:p>
  <w:p w14:paraId="680E74C1" w14:textId="77777777" w:rsidR="005807FA" w:rsidRDefault="005922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4943496"/>
    <w:multiLevelType w:val="hybridMultilevel"/>
    <w:tmpl w:val="4A062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13B82"/>
    <w:rsid w:val="00023B69"/>
    <w:rsid w:val="000415F8"/>
    <w:rsid w:val="00041972"/>
    <w:rsid w:val="00046630"/>
    <w:rsid w:val="000516D9"/>
    <w:rsid w:val="0005566D"/>
    <w:rsid w:val="000574FE"/>
    <w:rsid w:val="0006774B"/>
    <w:rsid w:val="00082B81"/>
    <w:rsid w:val="00090C3D"/>
    <w:rsid w:val="000964AF"/>
    <w:rsid w:val="00097118"/>
    <w:rsid w:val="000A7DB6"/>
    <w:rsid w:val="000B1BCF"/>
    <w:rsid w:val="000C08C1"/>
    <w:rsid w:val="000C3A52"/>
    <w:rsid w:val="000C53DB"/>
    <w:rsid w:val="000C5E9B"/>
    <w:rsid w:val="000D2AA6"/>
    <w:rsid w:val="000D6320"/>
    <w:rsid w:val="000E2F6F"/>
    <w:rsid w:val="000E6BE4"/>
    <w:rsid w:val="000F4F7D"/>
    <w:rsid w:val="00134918"/>
    <w:rsid w:val="00136893"/>
    <w:rsid w:val="001460B1"/>
    <w:rsid w:val="001474BD"/>
    <w:rsid w:val="00154A32"/>
    <w:rsid w:val="00164814"/>
    <w:rsid w:val="0017102C"/>
    <w:rsid w:val="00180DD6"/>
    <w:rsid w:val="0018305E"/>
    <w:rsid w:val="00183D5F"/>
    <w:rsid w:val="00195D1D"/>
    <w:rsid w:val="001A39E2"/>
    <w:rsid w:val="001A6AF1"/>
    <w:rsid w:val="001B027C"/>
    <w:rsid w:val="001B288D"/>
    <w:rsid w:val="001C532F"/>
    <w:rsid w:val="001D188D"/>
    <w:rsid w:val="001E53BF"/>
    <w:rsid w:val="001E7F21"/>
    <w:rsid w:val="00201AFD"/>
    <w:rsid w:val="00214B25"/>
    <w:rsid w:val="00222953"/>
    <w:rsid w:val="00223E62"/>
    <w:rsid w:val="0025460A"/>
    <w:rsid w:val="00274F08"/>
    <w:rsid w:val="002A5310"/>
    <w:rsid w:val="002B3ED8"/>
    <w:rsid w:val="002C0FD1"/>
    <w:rsid w:val="002C27C6"/>
    <w:rsid w:val="002C57B6"/>
    <w:rsid w:val="002E5F77"/>
    <w:rsid w:val="002F0EB9"/>
    <w:rsid w:val="002F34B1"/>
    <w:rsid w:val="002F53A9"/>
    <w:rsid w:val="00307082"/>
    <w:rsid w:val="00307C04"/>
    <w:rsid w:val="003127CC"/>
    <w:rsid w:val="00314E36"/>
    <w:rsid w:val="003220C1"/>
    <w:rsid w:val="00341F1F"/>
    <w:rsid w:val="003514F8"/>
    <w:rsid w:val="003569B9"/>
    <w:rsid w:val="00356D7B"/>
    <w:rsid w:val="00356FFA"/>
    <w:rsid w:val="00357893"/>
    <w:rsid w:val="003670C1"/>
    <w:rsid w:val="00370471"/>
    <w:rsid w:val="003719A7"/>
    <w:rsid w:val="00391764"/>
    <w:rsid w:val="003A445A"/>
    <w:rsid w:val="003A6B18"/>
    <w:rsid w:val="003B1503"/>
    <w:rsid w:val="003B2197"/>
    <w:rsid w:val="003B3D64"/>
    <w:rsid w:val="003C5133"/>
    <w:rsid w:val="003C7062"/>
    <w:rsid w:val="003E0EC4"/>
    <w:rsid w:val="003E72B3"/>
    <w:rsid w:val="00412673"/>
    <w:rsid w:val="00417B83"/>
    <w:rsid w:val="00422487"/>
    <w:rsid w:val="0043031D"/>
    <w:rsid w:val="00461D59"/>
    <w:rsid w:val="00462045"/>
    <w:rsid w:val="00462772"/>
    <w:rsid w:val="0046501B"/>
    <w:rsid w:val="0046757C"/>
    <w:rsid w:val="00467926"/>
    <w:rsid w:val="00476FFE"/>
    <w:rsid w:val="00486FEA"/>
    <w:rsid w:val="004A6CEA"/>
    <w:rsid w:val="004B6091"/>
    <w:rsid w:val="004B69F8"/>
    <w:rsid w:val="004C19ED"/>
    <w:rsid w:val="004C2739"/>
    <w:rsid w:val="004E307B"/>
    <w:rsid w:val="005007C5"/>
    <w:rsid w:val="00522985"/>
    <w:rsid w:val="00531BC4"/>
    <w:rsid w:val="00544AE1"/>
    <w:rsid w:val="00556F69"/>
    <w:rsid w:val="00560F1F"/>
    <w:rsid w:val="00564751"/>
    <w:rsid w:val="00572388"/>
    <w:rsid w:val="00574BB3"/>
    <w:rsid w:val="00583443"/>
    <w:rsid w:val="00585889"/>
    <w:rsid w:val="00586230"/>
    <w:rsid w:val="0058670A"/>
    <w:rsid w:val="0059227F"/>
    <w:rsid w:val="005A115E"/>
    <w:rsid w:val="005A22E2"/>
    <w:rsid w:val="005A39CF"/>
    <w:rsid w:val="005B030B"/>
    <w:rsid w:val="005B3156"/>
    <w:rsid w:val="005B4DB1"/>
    <w:rsid w:val="005B7681"/>
    <w:rsid w:val="005D2A41"/>
    <w:rsid w:val="005D7663"/>
    <w:rsid w:val="005F1659"/>
    <w:rsid w:val="005F32A4"/>
    <w:rsid w:val="00603548"/>
    <w:rsid w:val="00620256"/>
    <w:rsid w:val="006350BE"/>
    <w:rsid w:val="006353A0"/>
    <w:rsid w:val="006417EF"/>
    <w:rsid w:val="00641A90"/>
    <w:rsid w:val="00642687"/>
    <w:rsid w:val="00654C0A"/>
    <w:rsid w:val="0065651C"/>
    <w:rsid w:val="0066298A"/>
    <w:rsid w:val="006633C7"/>
    <w:rsid w:val="0066352A"/>
    <w:rsid w:val="00663F04"/>
    <w:rsid w:val="00670227"/>
    <w:rsid w:val="006814BD"/>
    <w:rsid w:val="006844F6"/>
    <w:rsid w:val="0069133F"/>
    <w:rsid w:val="006B340E"/>
    <w:rsid w:val="006B461D"/>
    <w:rsid w:val="006C276B"/>
    <w:rsid w:val="006D2B5F"/>
    <w:rsid w:val="006E0A2C"/>
    <w:rsid w:val="006E2D62"/>
    <w:rsid w:val="006E6645"/>
    <w:rsid w:val="007013E7"/>
    <w:rsid w:val="00701F20"/>
    <w:rsid w:val="0070232E"/>
    <w:rsid w:val="00703993"/>
    <w:rsid w:val="007320A3"/>
    <w:rsid w:val="0073380E"/>
    <w:rsid w:val="00742CAB"/>
    <w:rsid w:val="00743B79"/>
    <w:rsid w:val="00744BF8"/>
    <w:rsid w:val="00747013"/>
    <w:rsid w:val="007523BC"/>
    <w:rsid w:val="00752C48"/>
    <w:rsid w:val="007827EC"/>
    <w:rsid w:val="007A05FB"/>
    <w:rsid w:val="007A466F"/>
    <w:rsid w:val="007B2B2C"/>
    <w:rsid w:val="007B5260"/>
    <w:rsid w:val="007C24E7"/>
    <w:rsid w:val="007D1402"/>
    <w:rsid w:val="007E0797"/>
    <w:rsid w:val="007F490B"/>
    <w:rsid w:val="007F5B68"/>
    <w:rsid w:val="007F5E64"/>
    <w:rsid w:val="00800FA0"/>
    <w:rsid w:val="00806E47"/>
    <w:rsid w:val="0080743F"/>
    <w:rsid w:val="00810477"/>
    <w:rsid w:val="00812370"/>
    <w:rsid w:val="008215C0"/>
    <w:rsid w:val="0082411A"/>
    <w:rsid w:val="00831F11"/>
    <w:rsid w:val="008357D7"/>
    <w:rsid w:val="00841628"/>
    <w:rsid w:val="00846160"/>
    <w:rsid w:val="00852CEF"/>
    <w:rsid w:val="00860AC9"/>
    <w:rsid w:val="00867BE8"/>
    <w:rsid w:val="00872206"/>
    <w:rsid w:val="00877BD2"/>
    <w:rsid w:val="008B7927"/>
    <w:rsid w:val="008D1E0B"/>
    <w:rsid w:val="008E150F"/>
    <w:rsid w:val="008F0CC6"/>
    <w:rsid w:val="008F45A6"/>
    <w:rsid w:val="008F789E"/>
    <w:rsid w:val="00903B0D"/>
    <w:rsid w:val="00905771"/>
    <w:rsid w:val="0090788E"/>
    <w:rsid w:val="00940D1F"/>
    <w:rsid w:val="00953A46"/>
    <w:rsid w:val="009549AF"/>
    <w:rsid w:val="00961513"/>
    <w:rsid w:val="00967473"/>
    <w:rsid w:val="00973090"/>
    <w:rsid w:val="00990449"/>
    <w:rsid w:val="00995EEC"/>
    <w:rsid w:val="009A0069"/>
    <w:rsid w:val="009A3757"/>
    <w:rsid w:val="009B1599"/>
    <w:rsid w:val="009B22A5"/>
    <w:rsid w:val="009B55A9"/>
    <w:rsid w:val="009C02D7"/>
    <w:rsid w:val="009D26D8"/>
    <w:rsid w:val="009D6789"/>
    <w:rsid w:val="009D6B95"/>
    <w:rsid w:val="009E4974"/>
    <w:rsid w:val="009F06C3"/>
    <w:rsid w:val="00A204C9"/>
    <w:rsid w:val="00A23742"/>
    <w:rsid w:val="00A3247B"/>
    <w:rsid w:val="00A432B6"/>
    <w:rsid w:val="00A708E4"/>
    <w:rsid w:val="00A72703"/>
    <w:rsid w:val="00A72CF3"/>
    <w:rsid w:val="00A80DE3"/>
    <w:rsid w:val="00A82A45"/>
    <w:rsid w:val="00A838D2"/>
    <w:rsid w:val="00A845A9"/>
    <w:rsid w:val="00A85A06"/>
    <w:rsid w:val="00A86958"/>
    <w:rsid w:val="00A9015D"/>
    <w:rsid w:val="00A94BD3"/>
    <w:rsid w:val="00A956E6"/>
    <w:rsid w:val="00A96C40"/>
    <w:rsid w:val="00AA5651"/>
    <w:rsid w:val="00AA5848"/>
    <w:rsid w:val="00AA7750"/>
    <w:rsid w:val="00AB1F99"/>
    <w:rsid w:val="00AD65F1"/>
    <w:rsid w:val="00AE064D"/>
    <w:rsid w:val="00AE36F6"/>
    <w:rsid w:val="00AF056B"/>
    <w:rsid w:val="00AF6779"/>
    <w:rsid w:val="00B049B1"/>
    <w:rsid w:val="00B05A62"/>
    <w:rsid w:val="00B1759B"/>
    <w:rsid w:val="00B17E24"/>
    <w:rsid w:val="00B239BA"/>
    <w:rsid w:val="00B35886"/>
    <w:rsid w:val="00B468BB"/>
    <w:rsid w:val="00B57637"/>
    <w:rsid w:val="00B60BFF"/>
    <w:rsid w:val="00B81F17"/>
    <w:rsid w:val="00B8317D"/>
    <w:rsid w:val="00B85DEB"/>
    <w:rsid w:val="00BA62C5"/>
    <w:rsid w:val="00BB5326"/>
    <w:rsid w:val="00BC7855"/>
    <w:rsid w:val="00BE5BE5"/>
    <w:rsid w:val="00C01094"/>
    <w:rsid w:val="00C1024B"/>
    <w:rsid w:val="00C134B5"/>
    <w:rsid w:val="00C236CA"/>
    <w:rsid w:val="00C370B9"/>
    <w:rsid w:val="00C43B4A"/>
    <w:rsid w:val="00C554FA"/>
    <w:rsid w:val="00C64FA5"/>
    <w:rsid w:val="00C70545"/>
    <w:rsid w:val="00C73BA1"/>
    <w:rsid w:val="00C75ED2"/>
    <w:rsid w:val="00C84A12"/>
    <w:rsid w:val="00C86A45"/>
    <w:rsid w:val="00C930D1"/>
    <w:rsid w:val="00CC003B"/>
    <w:rsid w:val="00CC2164"/>
    <w:rsid w:val="00CD4B4E"/>
    <w:rsid w:val="00CE2D11"/>
    <w:rsid w:val="00CE7406"/>
    <w:rsid w:val="00CF3DC5"/>
    <w:rsid w:val="00D017E2"/>
    <w:rsid w:val="00D07701"/>
    <w:rsid w:val="00D132F6"/>
    <w:rsid w:val="00D16D97"/>
    <w:rsid w:val="00D2284C"/>
    <w:rsid w:val="00D256C3"/>
    <w:rsid w:val="00D2668A"/>
    <w:rsid w:val="00D27F42"/>
    <w:rsid w:val="00D44290"/>
    <w:rsid w:val="00D61A4A"/>
    <w:rsid w:val="00D71B22"/>
    <w:rsid w:val="00D84713"/>
    <w:rsid w:val="00DB2C62"/>
    <w:rsid w:val="00DB38E7"/>
    <w:rsid w:val="00DB7044"/>
    <w:rsid w:val="00DC6E3E"/>
    <w:rsid w:val="00DD30D3"/>
    <w:rsid w:val="00DD4B82"/>
    <w:rsid w:val="00E02E14"/>
    <w:rsid w:val="00E1556F"/>
    <w:rsid w:val="00E30B36"/>
    <w:rsid w:val="00E30FCC"/>
    <w:rsid w:val="00E3419E"/>
    <w:rsid w:val="00E43831"/>
    <w:rsid w:val="00E44EA8"/>
    <w:rsid w:val="00E47B1A"/>
    <w:rsid w:val="00E631B1"/>
    <w:rsid w:val="00E846E2"/>
    <w:rsid w:val="00E918F2"/>
    <w:rsid w:val="00E944AD"/>
    <w:rsid w:val="00EA3952"/>
    <w:rsid w:val="00EA5290"/>
    <w:rsid w:val="00EB248F"/>
    <w:rsid w:val="00EB5F93"/>
    <w:rsid w:val="00EC0568"/>
    <w:rsid w:val="00EC4E9E"/>
    <w:rsid w:val="00EE2CC3"/>
    <w:rsid w:val="00EE4D07"/>
    <w:rsid w:val="00EE721A"/>
    <w:rsid w:val="00EF7564"/>
    <w:rsid w:val="00F0272E"/>
    <w:rsid w:val="00F2438B"/>
    <w:rsid w:val="00F26DA9"/>
    <w:rsid w:val="00F32255"/>
    <w:rsid w:val="00F4068B"/>
    <w:rsid w:val="00F51388"/>
    <w:rsid w:val="00F53BDA"/>
    <w:rsid w:val="00F6448F"/>
    <w:rsid w:val="00F72273"/>
    <w:rsid w:val="00F72B2C"/>
    <w:rsid w:val="00F81C33"/>
    <w:rsid w:val="00F923C2"/>
    <w:rsid w:val="00F97613"/>
    <w:rsid w:val="00FC01EC"/>
    <w:rsid w:val="00FF0966"/>
    <w:rsid w:val="00FF36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493E500"/>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table" w:styleId="TableGrid">
    <w:name w:val="Table Grid"/>
    <w:basedOn w:val="TableNormal"/>
    <w:rsid w:val="000E6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544AE1"/>
    <w:rPr>
      <w:rFonts w:ascii="TradeGothic" w:hAnsi="TradeGothic"/>
      <w:sz w:val="22"/>
      <w:lang w:eastAsia="en-US"/>
    </w:rPr>
  </w:style>
  <w:style w:type="paragraph" w:customStyle="1" w:styleId="Default">
    <w:name w:val="Default"/>
    <w:rsid w:val="00154A32"/>
    <w:pPr>
      <w:autoSpaceDE w:val="0"/>
      <w:autoSpaceDN w:val="0"/>
      <w:adjustRightInd w:val="0"/>
    </w:pPr>
    <w:rPr>
      <w:rFonts w:ascii="Arial" w:hAnsi="Arial" w:cs="Arial"/>
      <w:color w:val="000000"/>
      <w:sz w:val="24"/>
      <w:szCs w:val="24"/>
    </w:rPr>
  </w:style>
  <w:style w:type="paragraph" w:styleId="CommentText">
    <w:name w:val="annotation text"/>
    <w:basedOn w:val="Normal"/>
    <w:link w:val="CommentTextChar"/>
    <w:semiHidden/>
    <w:unhideWhenUsed/>
    <w:rsid w:val="002B3ED8"/>
    <w:rPr>
      <w:sz w:val="20"/>
    </w:rPr>
  </w:style>
  <w:style w:type="character" w:customStyle="1" w:styleId="CommentTextChar">
    <w:name w:val="Comment Text Char"/>
    <w:basedOn w:val="DefaultParagraphFont"/>
    <w:link w:val="CommentText"/>
    <w:semiHidden/>
    <w:rsid w:val="002B3ED8"/>
    <w:rPr>
      <w:rFonts w:ascii="TradeGothic" w:hAnsi="TradeGothic"/>
      <w:lang w:eastAsia="en-US"/>
    </w:rPr>
  </w:style>
  <w:style w:type="paragraph" w:styleId="BalloonText">
    <w:name w:val="Balloon Text"/>
    <w:basedOn w:val="Normal"/>
    <w:link w:val="BalloonTextChar"/>
    <w:semiHidden/>
    <w:unhideWhenUsed/>
    <w:rsid w:val="00BE5BE5"/>
    <w:rPr>
      <w:rFonts w:ascii="Segoe UI" w:hAnsi="Segoe UI" w:cs="Segoe UI"/>
      <w:sz w:val="18"/>
      <w:szCs w:val="18"/>
    </w:rPr>
  </w:style>
  <w:style w:type="character" w:customStyle="1" w:styleId="BalloonTextChar">
    <w:name w:val="Balloon Text Char"/>
    <w:basedOn w:val="DefaultParagraphFont"/>
    <w:link w:val="BalloonText"/>
    <w:semiHidden/>
    <w:rsid w:val="00BE5BE5"/>
    <w:rPr>
      <w:rFonts w:ascii="Segoe UI" w:hAnsi="Segoe UI" w:cs="Segoe UI"/>
      <w:sz w:val="18"/>
      <w:szCs w:val="18"/>
      <w:lang w:eastAsia="en-US"/>
    </w:rPr>
  </w:style>
  <w:style w:type="character" w:styleId="CommentReference">
    <w:name w:val="annotation reference"/>
    <w:basedOn w:val="DefaultParagraphFont"/>
    <w:semiHidden/>
    <w:unhideWhenUsed/>
    <w:rsid w:val="00B35886"/>
    <w:rPr>
      <w:sz w:val="16"/>
      <w:szCs w:val="16"/>
    </w:rPr>
  </w:style>
  <w:style w:type="paragraph" w:styleId="CommentSubject">
    <w:name w:val="annotation subject"/>
    <w:basedOn w:val="CommentText"/>
    <w:next w:val="CommentText"/>
    <w:link w:val="CommentSubjectChar"/>
    <w:semiHidden/>
    <w:unhideWhenUsed/>
    <w:rsid w:val="00B35886"/>
    <w:rPr>
      <w:b/>
      <w:bCs/>
    </w:rPr>
  </w:style>
  <w:style w:type="character" w:customStyle="1" w:styleId="CommentSubjectChar">
    <w:name w:val="Comment Subject Char"/>
    <w:basedOn w:val="CommentTextChar"/>
    <w:link w:val="CommentSubject"/>
    <w:semiHidden/>
    <w:rsid w:val="00B35886"/>
    <w:rPr>
      <w:rFonts w:ascii="TradeGothic" w:hAnsi="TradeGothic"/>
      <w:b/>
      <w:bCs/>
      <w:lang w:eastAsia="en-US"/>
    </w:rPr>
  </w:style>
  <w:style w:type="character" w:customStyle="1" w:styleId="UnresolvedMention1">
    <w:name w:val="Unresolved Mention1"/>
    <w:basedOn w:val="DefaultParagraphFont"/>
    <w:uiPriority w:val="99"/>
    <w:semiHidden/>
    <w:unhideWhenUsed/>
    <w:rsid w:val="00F51388"/>
    <w:rPr>
      <w:color w:val="605E5C"/>
      <w:shd w:val="clear" w:color="auto" w:fill="E1DFDD"/>
    </w:rPr>
  </w:style>
  <w:style w:type="paragraph" w:styleId="Title">
    <w:name w:val="Title"/>
    <w:basedOn w:val="Normal"/>
    <w:next w:val="Normal"/>
    <w:link w:val="TitleChar"/>
    <w:qFormat/>
    <w:rsid w:val="00201AF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201AFD"/>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67591">
      <w:bodyDiv w:val="1"/>
      <w:marLeft w:val="0"/>
      <w:marRight w:val="0"/>
      <w:marTop w:val="0"/>
      <w:marBottom w:val="0"/>
      <w:divBdr>
        <w:top w:val="none" w:sz="0" w:space="0" w:color="auto"/>
        <w:left w:val="none" w:sz="0" w:space="0" w:color="auto"/>
        <w:bottom w:val="none" w:sz="0" w:space="0" w:color="auto"/>
        <w:right w:val="none" w:sz="0" w:space="0" w:color="auto"/>
      </w:divBdr>
    </w:div>
    <w:div w:id="286014859">
      <w:bodyDiv w:val="1"/>
      <w:marLeft w:val="0"/>
      <w:marRight w:val="0"/>
      <w:marTop w:val="0"/>
      <w:marBottom w:val="0"/>
      <w:divBdr>
        <w:top w:val="none" w:sz="0" w:space="0" w:color="auto"/>
        <w:left w:val="none" w:sz="0" w:space="0" w:color="auto"/>
        <w:bottom w:val="none" w:sz="0" w:space="0" w:color="auto"/>
        <w:right w:val="none" w:sz="0" w:space="0" w:color="auto"/>
      </w:divBdr>
    </w:div>
    <w:div w:id="880441919">
      <w:bodyDiv w:val="1"/>
      <w:marLeft w:val="0"/>
      <w:marRight w:val="0"/>
      <w:marTop w:val="0"/>
      <w:marBottom w:val="0"/>
      <w:divBdr>
        <w:top w:val="none" w:sz="0" w:space="0" w:color="auto"/>
        <w:left w:val="none" w:sz="0" w:space="0" w:color="auto"/>
        <w:bottom w:val="none" w:sz="0" w:space="0" w:color="auto"/>
        <w:right w:val="none" w:sz="0" w:space="0" w:color="auto"/>
      </w:divBdr>
    </w:div>
    <w:div w:id="1283346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gov.wales/local-government-revenue-and-capital-settlement-2022-2023"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FF3C5B18883D4E21973B57C2EEED7FD1" version="1.0.0">
  <systemFields>
    <field name="Objective-Id">
      <value order="0">A38706185</value>
    </field>
    <field name="Objective-Title">
      <value order="0">LGFPS - Final Local Government Settlement 2022-23 - Written Statement - English</value>
    </field>
    <field name="Objective-Description">
      <value order="0"/>
    </field>
    <field name="Objective-CreationStamp">
      <value order="0">2020-11-27T11:36:47Z</value>
    </field>
    <field name="Objective-IsApproved">
      <value order="0">false</value>
    </field>
    <field name="Objective-IsPublished">
      <value order="0">true</value>
    </field>
    <field name="Objective-DatePublished">
      <value order="0">2022-02-28T12:24:39Z</value>
    </field>
    <field name="Objective-ModificationStamp">
      <value order="0">2022-02-28T12:24:39Z</value>
    </field>
    <field name="Objective-Owner">
      <value order="0">Edwards, Simon (EPS - LG - FPS)</value>
    </field>
    <field name="Objective-Path">
      <value order="0">Objective Global Folder:Business File Plan:Education &amp; Public Services (EPS):Education &amp; Public Services (EPS) - Local Government - Finance Policy:1 - Save:Unitary Authority Settlement:Administration:2022-2023:Local Authorities - 2022-2023 - Unitary Authorities Settlement - Reports &amp; Outputs</value>
    </field>
    <field name="Objective-Parent">
      <value order="0">Local Authorities - 2022-2023 - Unitary Authorities Settlement - Reports &amp; Outputs</value>
    </field>
    <field name="Objective-State">
      <value order="0">Published</value>
    </field>
    <field name="Objective-VersionId">
      <value order="0">vA75363941</value>
    </field>
    <field name="Objective-Version">
      <value order="0">10.0</value>
    </field>
    <field name="Objective-VersionNumber">
      <value order="0">10</value>
    </field>
    <field name="Objective-VersionComment">
      <value order="0"/>
    </field>
    <field name="Objective-FileNumber">
      <value order="0">qA1473730</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Document" ma:contentTypeID="0x010100739205D88DC4F44CB1CA8437F92B0221" ma:contentTypeVersion="11" ma:contentTypeDescription="Create a new document." ma:contentTypeScope="" ma:versionID="20e8ae7a33775d1bf583727dd4d82322">
  <xsd:schema xmlns:xsd="http://www.w3.org/2001/XMLSchema" xmlns:xs="http://www.w3.org/2001/XMLSchema" xmlns:p="http://schemas.microsoft.com/office/2006/metadata/properties" xmlns:ns3="ef277e87-290d-49c5-91d0-3912be04ccbd" xmlns:ns4="93868ba0-4f09-432e-b4a8-1e7798b1a206" targetNamespace="http://schemas.microsoft.com/office/2006/metadata/properties" ma:root="true" ma:fieldsID="d70cccb88eae144646a40f9c71c1bd06" ns3:_="" ns4:_="">
    <xsd:import namespace="ef277e87-290d-49c5-91d0-3912be04ccbd"/>
    <xsd:import namespace="93868ba0-4f09-432e-b4a8-1e7798b1a20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77e87-290d-49c5-91d0-3912be04cc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868ba0-4f09-432e-b4a8-1e7798b1a2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1ECAADCD-EB6D-4AB2-BCEF-431EAF7242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77e87-290d-49c5-91d0-3912be04ccbd"/>
    <ds:schemaRef ds:uri="93868ba0-4f09-432e-b4a8-1e7798b1a2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42B40D-BC30-45F0-912E-BA715570B7C4}">
  <ds:schemaRefs>
    <ds:schemaRef ds:uri="http://schemas.microsoft.com/sharepoint/v3/contenttype/forms"/>
  </ds:schemaRefs>
</ds:datastoreItem>
</file>

<file path=customXml/itemProps4.xml><?xml version="1.0" encoding="utf-8"?>
<ds:datastoreItem xmlns:ds="http://schemas.openxmlformats.org/officeDocument/2006/customXml" ds:itemID="{36AA8DF8-5338-4541-AD6C-4A7D1E07AED5}">
  <ds:schemaRefs>
    <ds:schemaRef ds:uri="http://purl.org/dc/terms/"/>
    <ds:schemaRef ds:uri="http://schemas.openxmlformats.org/package/2006/metadata/core-properties"/>
    <ds:schemaRef ds:uri="http://purl.org/dc/dcmitype/"/>
    <ds:schemaRef ds:uri="http://schemas.microsoft.com/office/infopath/2007/PartnerControls"/>
    <ds:schemaRef ds:uri="ef277e87-290d-49c5-91d0-3912be04ccbd"/>
    <ds:schemaRef ds:uri="http://purl.org/dc/elements/1.1/"/>
    <ds:schemaRef ds:uri="http://schemas.microsoft.com/office/2006/metadata/properties"/>
    <ds:schemaRef ds:uri="http://schemas.microsoft.com/office/2006/documentManagement/types"/>
    <ds:schemaRef ds:uri="93868ba0-4f09-432e-b4a8-1e7798b1a206"/>
    <ds:schemaRef ds:uri="http://www.w3.org/XML/1998/namespace"/>
  </ds:schemaRefs>
</ds:datastoreItem>
</file>

<file path=customXml/itemProps5.xml><?xml version="1.0" encoding="utf-8"?>
<ds:datastoreItem xmlns:ds="http://schemas.openxmlformats.org/officeDocument/2006/customXml" ds:itemID="{BC172E3C-7226-4FA2-B89C-FBB1C0B15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1003</Words>
  <Characters>6040</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Provisional Local Government Settlement 2022-23</vt:lpstr>
    </vt:vector>
  </TitlesOfParts>
  <Company>COI Communications</Company>
  <LinksUpToDate>false</LinksUpToDate>
  <CharactersWithSpaces>7029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Local Government Settlement 2022-23</dc:title>
  <dc:creator>burnsc</dc:creator>
  <cp:lastModifiedBy>Carey, Helen (OFM - Cabinet Division)</cp:lastModifiedBy>
  <cp:revision>2</cp:revision>
  <cp:lastPrinted>2022-02-28T12:23:00Z</cp:lastPrinted>
  <dcterms:created xsi:type="dcterms:W3CDTF">2022-02-28T17:34:00Z</dcterms:created>
  <dcterms:modified xsi:type="dcterms:W3CDTF">2022-02-28T17:34:00Z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A38706185</vt:lpwstr>
  </property>
  <property fmtid="{D5CDD505-2E9C-101B-9397-08002B2CF9AE}" pid="4" name="Objective-Title">
    <vt:lpwstr>LGFPS - Final Local Government Settlement 2022-23 - Written Statement - English</vt:lpwstr>
  </property>
  <property fmtid="{D5CDD505-2E9C-101B-9397-08002B2CF9AE}" pid="5" name="Objective-Comment">
    <vt:lpwstr/>
  </property>
  <property fmtid="{D5CDD505-2E9C-101B-9397-08002B2CF9AE}" pid="6" name="Objective-CreationStamp">
    <vt:filetime>2022-02-23T13:18:53Z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2022-02-28T12:24:39Z</vt:filetime>
  </property>
  <property fmtid="{D5CDD505-2E9C-101B-9397-08002B2CF9AE}" pid="10" name="Objective-ModificationStamp">
    <vt:filetime>2022-02-28T12:24:39Z</vt:filetime>
  </property>
  <property fmtid="{D5CDD505-2E9C-101B-9397-08002B2CF9AE}" pid="11" name="Objective-Owner">
    <vt:lpwstr>Edwards, Simon (EPS - LG - FPS)</vt:lpwstr>
  </property>
  <property fmtid="{D5CDD505-2E9C-101B-9397-08002B2CF9AE}" pid="12" name="Objective-Path">
    <vt:lpwstr>Objective Global Folder:Business File Plan:Education &amp; Public Services (EPS):Education &amp; Public Services (EPS) - Local Government - Finance Policy:1 - Save:Unitary Authority Settlement:Administration:2022-2023:Local Authorities - 2022-2023 - Unitary Autho</vt:lpwstr>
  </property>
  <property fmtid="{D5CDD505-2E9C-101B-9397-08002B2CF9AE}" pid="13" name="Objective-Parent">
    <vt:lpwstr>Local Authorities - 2022-2023 - Unitary Authorities Settlement - Reports &amp; Outputs</vt:lpwstr>
  </property>
  <property fmtid="{D5CDD505-2E9C-101B-9397-08002B2CF9AE}" pid="14" name="Objective-State">
    <vt:lpwstr>Published</vt:lpwstr>
  </property>
  <property fmtid="{D5CDD505-2E9C-101B-9397-08002B2CF9AE}" pid="15" name="Objective-Version">
    <vt:lpwstr>10.0</vt:lpwstr>
  </property>
  <property fmtid="{D5CDD505-2E9C-101B-9397-08002B2CF9AE}" pid="16" name="Objective-VersionNumber">
    <vt:r8>10</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vA75363941</vt:lpwstr>
  </property>
  <property fmtid="{D5CDD505-2E9C-101B-9397-08002B2CF9AE}" pid="28" name="Objective-Language">
    <vt:lpwstr>English (eng)</vt:lpwstr>
  </property>
  <property fmtid="{D5CDD505-2E9C-101B-9397-08002B2CF9AE}" pid="29" name="Objective-Date Acquired">
    <vt:lpwstr/>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0x010100739205D88DC4F44CB1CA8437F92B0221</vt:lpwstr>
  </property>
</Properties>
</file>