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127F92"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127F92"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9E7215" w:rsidP="00B049B1">
            <w:pPr>
              <w:spacing w:before="120" w:after="120"/>
              <w:rPr>
                <w:rFonts w:ascii="Arial" w:hAnsi="Arial" w:cs="Arial"/>
                <w:b/>
                <w:bCs/>
                <w:sz w:val="24"/>
                <w:szCs w:val="24"/>
              </w:rPr>
            </w:pPr>
            <w:r>
              <w:rPr>
                <w:rFonts w:ascii="Arial" w:hAnsi="Arial" w:cs="Arial"/>
                <w:b/>
                <w:bCs/>
                <w:sz w:val="24"/>
                <w:szCs w:val="24"/>
              </w:rPr>
              <w:t>Electronic Register of Common Land for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35F02" w:rsidP="00B049B1">
            <w:pPr>
              <w:spacing w:before="120" w:after="120"/>
              <w:rPr>
                <w:rFonts w:ascii="Arial" w:hAnsi="Arial" w:cs="Arial"/>
                <w:b/>
                <w:bCs/>
                <w:sz w:val="24"/>
                <w:szCs w:val="24"/>
              </w:rPr>
            </w:pPr>
            <w:r>
              <w:rPr>
                <w:rFonts w:ascii="Arial" w:hAnsi="Arial" w:cs="Arial"/>
                <w:b/>
                <w:bCs/>
                <w:sz w:val="24"/>
                <w:szCs w:val="24"/>
              </w:rPr>
              <w:t>12</w:t>
            </w:r>
            <w:r w:rsidR="009D088D">
              <w:rPr>
                <w:rFonts w:ascii="Arial" w:hAnsi="Arial" w:cs="Arial"/>
                <w:b/>
                <w:bCs/>
                <w:sz w:val="24"/>
                <w:szCs w:val="24"/>
              </w:rPr>
              <w:t xml:space="preserve"> </w:t>
            </w:r>
            <w:r w:rsidR="002F0A5E">
              <w:rPr>
                <w:rFonts w:ascii="Arial" w:hAnsi="Arial" w:cs="Arial"/>
                <w:b/>
                <w:bCs/>
                <w:sz w:val="24"/>
                <w:szCs w:val="24"/>
              </w:rPr>
              <w:t xml:space="preserve">February 2018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8C66CA" w:rsidP="001122F1">
            <w:pPr>
              <w:spacing w:before="120" w:after="120"/>
              <w:rPr>
                <w:rFonts w:ascii="Arial" w:hAnsi="Arial" w:cs="Arial"/>
                <w:b/>
                <w:bCs/>
                <w:sz w:val="24"/>
                <w:szCs w:val="24"/>
              </w:rPr>
            </w:pPr>
            <w:r>
              <w:rPr>
                <w:rFonts w:ascii="Arial" w:hAnsi="Arial" w:cs="Arial"/>
                <w:b/>
                <w:bCs/>
                <w:sz w:val="24"/>
                <w:szCs w:val="24"/>
              </w:rPr>
              <w:t>Lesley Griffiths</w:t>
            </w:r>
            <w:bookmarkStart w:id="0" w:name="_GoBack"/>
            <w:bookmarkEnd w:id="0"/>
            <w:r>
              <w:rPr>
                <w:rFonts w:ascii="Arial" w:hAnsi="Arial" w:cs="Arial"/>
                <w:b/>
                <w:bCs/>
                <w:sz w:val="24"/>
                <w:szCs w:val="24"/>
              </w:rPr>
              <w:t>, Cabinet Secretary for Energy, Planning and Rural Affairs</w:t>
            </w:r>
          </w:p>
        </w:tc>
      </w:tr>
    </w:tbl>
    <w:p w:rsidR="00EA5290" w:rsidRDefault="00EA5290" w:rsidP="00DB0178"/>
    <w:p w:rsidR="008C66CA" w:rsidRPr="008C66CA" w:rsidRDefault="00DB0178" w:rsidP="00DB0178">
      <w:pPr>
        <w:contextualSpacing/>
        <w:rPr>
          <w:rFonts w:ascii="Arial" w:eastAsiaTheme="minorHAnsi" w:hAnsi="Arial" w:cs="Arial"/>
          <w:sz w:val="24"/>
          <w:szCs w:val="24"/>
        </w:rPr>
      </w:pPr>
      <w:r w:rsidRPr="00DB0178">
        <w:rPr>
          <w:rFonts w:ascii="Arial" w:eastAsiaTheme="minorHAnsi" w:hAnsi="Arial" w:cs="Arial"/>
          <w:sz w:val="24"/>
          <w:szCs w:val="24"/>
        </w:rPr>
        <w:t>Welsh Government is committed to protecting our common land both now and for future generations.</w:t>
      </w:r>
      <w:r>
        <w:rPr>
          <w:rFonts w:ascii="Arial" w:eastAsiaTheme="minorHAnsi" w:hAnsi="Arial" w:cs="Arial"/>
          <w:sz w:val="24"/>
          <w:szCs w:val="24"/>
        </w:rPr>
        <w:t xml:space="preserve"> </w:t>
      </w:r>
      <w:r w:rsidR="00BD2489">
        <w:rPr>
          <w:rFonts w:ascii="Arial" w:hAnsi="Arial" w:cs="Arial"/>
          <w:color w:val="333333"/>
          <w:sz w:val="24"/>
          <w:szCs w:val="24"/>
          <w:lang w:val="en" w:eastAsia="en-GB"/>
        </w:rPr>
        <w:t xml:space="preserve"> </w:t>
      </w:r>
      <w:r w:rsidR="008C66CA" w:rsidRPr="008C66CA">
        <w:rPr>
          <w:rFonts w:ascii="Arial" w:hAnsi="Arial" w:cs="Arial"/>
          <w:color w:val="333333"/>
          <w:sz w:val="24"/>
          <w:szCs w:val="24"/>
          <w:lang w:val="en" w:eastAsia="en-GB"/>
        </w:rPr>
        <w:t xml:space="preserve">The Commons Act 2006 was introduced to remedy many of the deficiencies of earlier legislation, to protect common land </w:t>
      </w:r>
      <w:r w:rsidR="00AC3093">
        <w:rPr>
          <w:rFonts w:ascii="Arial" w:hAnsi="Arial" w:cs="Arial"/>
          <w:color w:val="333333"/>
          <w:sz w:val="24"/>
          <w:szCs w:val="24"/>
          <w:lang w:val="en" w:eastAsia="en-GB"/>
        </w:rPr>
        <w:t>from development, allow more sustainable management of common land and to improve the protection of common land from neglect and abuse</w:t>
      </w:r>
      <w:r w:rsidR="008C66CA" w:rsidRPr="008C66CA">
        <w:rPr>
          <w:rFonts w:ascii="Arial" w:hAnsi="Arial" w:cs="Arial"/>
          <w:color w:val="333333"/>
          <w:sz w:val="24"/>
          <w:szCs w:val="24"/>
          <w:lang w:val="en" w:eastAsia="en-GB"/>
        </w:rPr>
        <w:t>.</w:t>
      </w:r>
    </w:p>
    <w:p w:rsidR="00DB0178" w:rsidRDefault="00DB0178" w:rsidP="00DB0178">
      <w:pPr>
        <w:shd w:val="clear" w:color="auto" w:fill="FFFFFF"/>
        <w:rPr>
          <w:rFonts w:ascii="Arial" w:hAnsi="Arial" w:cs="Arial"/>
          <w:color w:val="333333"/>
          <w:sz w:val="24"/>
          <w:szCs w:val="24"/>
          <w:lang w:val="en" w:eastAsia="en-GB"/>
        </w:rPr>
      </w:pPr>
    </w:p>
    <w:p w:rsidR="008C66CA" w:rsidRPr="008C66CA" w:rsidRDefault="008C66CA" w:rsidP="00DB0178">
      <w:pPr>
        <w:shd w:val="clear" w:color="auto" w:fill="FFFFFF"/>
        <w:rPr>
          <w:rFonts w:ascii="Arial" w:hAnsi="Arial" w:cs="Arial"/>
          <w:color w:val="333333"/>
          <w:sz w:val="24"/>
          <w:szCs w:val="24"/>
          <w:lang w:val="en" w:eastAsia="en-GB"/>
        </w:rPr>
      </w:pPr>
      <w:r w:rsidRPr="008C66CA">
        <w:rPr>
          <w:rFonts w:ascii="Arial" w:hAnsi="Arial" w:cs="Arial"/>
          <w:color w:val="333333"/>
          <w:sz w:val="24"/>
          <w:szCs w:val="24"/>
          <w:lang w:val="en" w:eastAsia="en-GB"/>
        </w:rPr>
        <w:t>The area of common land in Wales amounts to some 175,000 hectares</w:t>
      </w:r>
      <w:r w:rsidR="009E3E8B">
        <w:rPr>
          <w:rFonts w:ascii="Arial" w:hAnsi="Arial" w:cs="Arial"/>
          <w:color w:val="333333"/>
          <w:sz w:val="24"/>
          <w:szCs w:val="24"/>
          <w:lang w:val="en" w:eastAsia="en-GB"/>
        </w:rPr>
        <w:t>,</w:t>
      </w:r>
      <w:r w:rsidRPr="008C66CA">
        <w:rPr>
          <w:rFonts w:ascii="Arial" w:hAnsi="Arial" w:cs="Arial"/>
          <w:color w:val="333333"/>
          <w:sz w:val="24"/>
          <w:szCs w:val="24"/>
          <w:lang w:val="en" w:eastAsia="en-GB"/>
        </w:rPr>
        <w:t xml:space="preserve"> or 8.5% of the total land area</w:t>
      </w:r>
      <w:r w:rsidR="009E3E8B">
        <w:rPr>
          <w:rFonts w:ascii="Arial" w:hAnsi="Arial" w:cs="Arial"/>
          <w:color w:val="333333"/>
          <w:sz w:val="24"/>
          <w:szCs w:val="24"/>
          <w:lang w:val="en" w:eastAsia="en-GB"/>
        </w:rPr>
        <w:t>,</w:t>
      </w:r>
      <w:r w:rsidRPr="008C66CA">
        <w:rPr>
          <w:rFonts w:ascii="Arial" w:hAnsi="Arial" w:cs="Arial"/>
          <w:color w:val="333333"/>
          <w:sz w:val="24"/>
          <w:szCs w:val="24"/>
          <w:lang w:val="en" w:eastAsia="en-GB"/>
        </w:rPr>
        <w:t xml:space="preserve"> and is important to and predominately used for agricultural purposes. In addition, common land is valued for its contribution to the natural and national heritage of Wales, especially nature and habitat conservation, with 40% being designated as Sites of Special Scientific Interest and 50% </w:t>
      </w:r>
      <w:r w:rsidR="00AC3093">
        <w:rPr>
          <w:rFonts w:ascii="Arial" w:hAnsi="Arial" w:cs="Arial"/>
          <w:color w:val="333333"/>
          <w:sz w:val="24"/>
          <w:szCs w:val="24"/>
          <w:lang w:val="en" w:eastAsia="en-GB"/>
        </w:rPr>
        <w:t xml:space="preserve">falling </w:t>
      </w:r>
      <w:r w:rsidRPr="008C66CA">
        <w:rPr>
          <w:rFonts w:ascii="Arial" w:hAnsi="Arial" w:cs="Arial"/>
          <w:color w:val="333333"/>
          <w:sz w:val="24"/>
          <w:szCs w:val="24"/>
          <w:lang w:val="en" w:eastAsia="en-GB"/>
        </w:rPr>
        <w:t>within the protected landscape of Wales.</w:t>
      </w:r>
    </w:p>
    <w:p w:rsidR="00DB0178" w:rsidRDefault="00DB0178" w:rsidP="00DB0178">
      <w:pPr>
        <w:shd w:val="clear" w:color="auto" w:fill="FFFFFF"/>
        <w:rPr>
          <w:rFonts w:ascii="Arial" w:hAnsi="Arial" w:cs="Arial"/>
          <w:color w:val="333333"/>
          <w:sz w:val="24"/>
          <w:szCs w:val="24"/>
          <w:lang w:val="en" w:eastAsia="en-GB"/>
        </w:rPr>
      </w:pPr>
    </w:p>
    <w:p w:rsidR="00F05B30" w:rsidRDefault="008C66CA" w:rsidP="00DB0178">
      <w:pPr>
        <w:shd w:val="clear" w:color="auto" w:fill="FFFFFF"/>
        <w:rPr>
          <w:rFonts w:ascii="Arial" w:hAnsi="Arial" w:cs="Arial"/>
          <w:color w:val="333333"/>
          <w:sz w:val="24"/>
          <w:szCs w:val="24"/>
          <w:lang w:val="en" w:eastAsia="en-GB"/>
        </w:rPr>
      </w:pPr>
      <w:r w:rsidRPr="008C66CA">
        <w:rPr>
          <w:rFonts w:ascii="Arial" w:hAnsi="Arial" w:cs="Arial"/>
          <w:color w:val="333333"/>
          <w:sz w:val="24"/>
          <w:szCs w:val="24"/>
          <w:lang w:val="en" w:eastAsia="en-GB"/>
        </w:rPr>
        <w:t xml:space="preserve">Fundamental to the on-going implementation of the Commons Act </w:t>
      </w:r>
      <w:r w:rsidR="00AC3093">
        <w:rPr>
          <w:rFonts w:ascii="Arial" w:hAnsi="Arial" w:cs="Arial"/>
          <w:color w:val="333333"/>
          <w:sz w:val="24"/>
          <w:szCs w:val="24"/>
          <w:lang w:val="en" w:eastAsia="en-GB"/>
        </w:rPr>
        <w:t xml:space="preserve">2006 </w:t>
      </w:r>
      <w:r w:rsidRPr="008C66CA">
        <w:rPr>
          <w:rFonts w:ascii="Arial" w:hAnsi="Arial" w:cs="Arial"/>
          <w:color w:val="333333"/>
          <w:sz w:val="24"/>
          <w:szCs w:val="24"/>
          <w:lang w:val="en" w:eastAsia="en-GB"/>
        </w:rPr>
        <w:t>in Wales</w:t>
      </w:r>
      <w:r w:rsidR="009E3E8B">
        <w:rPr>
          <w:rFonts w:ascii="Arial" w:hAnsi="Arial" w:cs="Arial"/>
          <w:color w:val="333333"/>
          <w:sz w:val="24"/>
          <w:szCs w:val="24"/>
          <w:lang w:val="en" w:eastAsia="en-GB"/>
        </w:rPr>
        <w:t>,</w:t>
      </w:r>
      <w:r w:rsidRPr="008C66CA">
        <w:rPr>
          <w:rFonts w:ascii="Arial" w:hAnsi="Arial" w:cs="Arial"/>
          <w:color w:val="333333"/>
          <w:sz w:val="24"/>
          <w:szCs w:val="24"/>
          <w:lang w:val="en" w:eastAsia="en-GB"/>
        </w:rPr>
        <w:t xml:space="preserve"> is the need</w:t>
      </w:r>
      <w:r>
        <w:rPr>
          <w:rFonts w:ascii="Arial" w:hAnsi="Arial" w:cs="Arial"/>
          <w:color w:val="333333"/>
          <w:sz w:val="24"/>
          <w:szCs w:val="24"/>
          <w:lang w:val="en" w:eastAsia="en-GB"/>
        </w:rPr>
        <w:t xml:space="preserve"> to</w:t>
      </w:r>
      <w:r w:rsidR="004F45C1">
        <w:rPr>
          <w:rFonts w:ascii="Arial" w:hAnsi="Arial" w:cs="Arial"/>
          <w:color w:val="333333"/>
          <w:sz w:val="24"/>
          <w:szCs w:val="24"/>
          <w:lang w:val="en" w:eastAsia="en-GB"/>
        </w:rPr>
        <w:t xml:space="preserve"> develop </w:t>
      </w:r>
      <w:r w:rsidR="009D088D">
        <w:rPr>
          <w:rFonts w:ascii="Arial" w:hAnsi="Arial" w:cs="Arial"/>
          <w:color w:val="333333"/>
          <w:sz w:val="24"/>
          <w:szCs w:val="24"/>
          <w:lang w:val="en" w:eastAsia="en-GB"/>
        </w:rPr>
        <w:t>and introduce</w:t>
      </w:r>
      <w:r>
        <w:rPr>
          <w:rFonts w:ascii="Arial" w:hAnsi="Arial" w:cs="Arial"/>
          <w:color w:val="333333"/>
          <w:sz w:val="24"/>
          <w:szCs w:val="24"/>
          <w:lang w:val="en" w:eastAsia="en-GB"/>
        </w:rPr>
        <w:t xml:space="preserve"> an electronic register of Common Land for Wales. </w:t>
      </w:r>
      <w:r w:rsidR="009E3E8B">
        <w:rPr>
          <w:rFonts w:ascii="Arial" w:hAnsi="Arial" w:cs="Arial"/>
          <w:color w:val="333333"/>
          <w:sz w:val="24"/>
          <w:szCs w:val="24"/>
          <w:lang w:val="en" w:eastAsia="en-GB"/>
        </w:rPr>
        <w:t>This</w:t>
      </w:r>
      <w:r w:rsidR="00957E28">
        <w:rPr>
          <w:rFonts w:ascii="Arial" w:hAnsi="Arial"/>
          <w:sz w:val="24"/>
          <w:szCs w:val="24"/>
          <w:lang w:eastAsia="en-GB"/>
        </w:rPr>
        <w:t xml:space="preserve"> </w:t>
      </w:r>
      <w:r w:rsidR="00F05B30">
        <w:rPr>
          <w:rFonts w:ascii="Arial" w:hAnsi="Arial"/>
          <w:sz w:val="24"/>
          <w:szCs w:val="24"/>
          <w:lang w:eastAsia="en-GB"/>
        </w:rPr>
        <w:t xml:space="preserve">work </w:t>
      </w:r>
      <w:proofErr w:type="gramStart"/>
      <w:r w:rsidR="00F05B30">
        <w:rPr>
          <w:rFonts w:ascii="Arial" w:hAnsi="Arial"/>
          <w:sz w:val="24"/>
          <w:szCs w:val="24"/>
          <w:lang w:eastAsia="en-GB"/>
        </w:rPr>
        <w:t>is</w:t>
      </w:r>
      <w:proofErr w:type="gramEnd"/>
      <w:r w:rsidR="00CD60EB">
        <w:rPr>
          <w:rFonts w:ascii="Arial" w:hAnsi="Arial"/>
          <w:sz w:val="24"/>
          <w:szCs w:val="24"/>
          <w:lang w:eastAsia="en-GB"/>
        </w:rPr>
        <w:t xml:space="preserve"> now underway</w:t>
      </w:r>
      <w:r w:rsidR="004F45C1">
        <w:rPr>
          <w:rFonts w:ascii="Arial" w:hAnsi="Arial"/>
          <w:sz w:val="24"/>
          <w:szCs w:val="24"/>
          <w:lang w:eastAsia="en-GB"/>
        </w:rPr>
        <w:t xml:space="preserve"> and progressing well</w:t>
      </w:r>
      <w:r w:rsidR="00CD60EB">
        <w:rPr>
          <w:rFonts w:ascii="Arial" w:hAnsi="Arial" w:cs="Arial"/>
          <w:color w:val="333333"/>
          <w:sz w:val="24"/>
          <w:szCs w:val="24"/>
          <w:lang w:val="en" w:eastAsia="en-GB"/>
        </w:rPr>
        <w:t xml:space="preserve">.  </w:t>
      </w:r>
      <w:r w:rsidR="003F1C1A">
        <w:rPr>
          <w:rFonts w:ascii="Arial" w:hAnsi="Arial" w:cs="Arial"/>
          <w:color w:val="333333"/>
          <w:sz w:val="24"/>
          <w:szCs w:val="24"/>
          <w:lang w:val="en" w:eastAsia="en-GB"/>
        </w:rPr>
        <w:t>The project has been broken down into four phases</w:t>
      </w:r>
      <w:r w:rsidR="009D088D">
        <w:rPr>
          <w:rFonts w:ascii="Arial" w:hAnsi="Arial" w:cs="Arial"/>
          <w:color w:val="333333"/>
          <w:sz w:val="24"/>
          <w:szCs w:val="24"/>
          <w:lang w:val="en" w:eastAsia="en-GB"/>
        </w:rPr>
        <w:t xml:space="preserve"> over a period of four years. These are</w:t>
      </w:r>
      <w:r w:rsidR="003F1C1A">
        <w:rPr>
          <w:rFonts w:ascii="Arial" w:hAnsi="Arial" w:cs="Arial"/>
          <w:color w:val="333333"/>
          <w:sz w:val="24"/>
          <w:szCs w:val="24"/>
          <w:lang w:val="en" w:eastAsia="en-GB"/>
        </w:rPr>
        <w:t xml:space="preserve"> </w:t>
      </w:r>
      <w:r w:rsidR="00476E81">
        <w:rPr>
          <w:rFonts w:ascii="Arial" w:hAnsi="Arial" w:cs="Arial"/>
          <w:color w:val="333333"/>
          <w:sz w:val="24"/>
          <w:szCs w:val="24"/>
          <w:lang w:val="en" w:eastAsia="en-GB"/>
        </w:rPr>
        <w:t xml:space="preserve">set out at </w:t>
      </w:r>
      <w:r w:rsidR="003F1C1A">
        <w:rPr>
          <w:rFonts w:ascii="Arial" w:hAnsi="Arial" w:cs="Arial"/>
          <w:color w:val="333333"/>
          <w:sz w:val="24"/>
          <w:szCs w:val="24"/>
          <w:lang w:val="en" w:eastAsia="en-GB"/>
        </w:rPr>
        <w:t>Annex One</w:t>
      </w:r>
      <w:r w:rsidR="009D088D">
        <w:rPr>
          <w:rFonts w:ascii="Arial" w:hAnsi="Arial" w:cs="Arial"/>
          <w:color w:val="333333"/>
          <w:sz w:val="24"/>
          <w:szCs w:val="24"/>
          <w:lang w:val="en" w:eastAsia="en-GB"/>
        </w:rPr>
        <w:t xml:space="preserve"> of this statement</w:t>
      </w:r>
      <w:r w:rsidR="003F1C1A">
        <w:rPr>
          <w:rFonts w:ascii="Arial" w:hAnsi="Arial" w:cs="Arial"/>
          <w:color w:val="333333"/>
          <w:sz w:val="24"/>
          <w:szCs w:val="24"/>
          <w:lang w:val="en" w:eastAsia="en-GB"/>
        </w:rPr>
        <w:t xml:space="preserve">.  </w:t>
      </w:r>
    </w:p>
    <w:p w:rsidR="00286D73" w:rsidRPr="00CD60EB" w:rsidRDefault="00286D73" w:rsidP="00DB0178">
      <w:pPr>
        <w:shd w:val="clear" w:color="auto" w:fill="FFFFFF"/>
        <w:rPr>
          <w:rFonts w:ascii="Arial" w:hAnsi="Arial" w:cs="Arial"/>
          <w:color w:val="333333"/>
          <w:sz w:val="24"/>
          <w:szCs w:val="24"/>
          <w:lang w:val="en" w:eastAsia="en-GB"/>
        </w:rPr>
      </w:pPr>
    </w:p>
    <w:p w:rsidR="00DB0178" w:rsidRDefault="00286D73" w:rsidP="00286D73">
      <w:pPr>
        <w:contextualSpacing/>
        <w:rPr>
          <w:rFonts w:ascii="Arial" w:eastAsiaTheme="minorHAnsi" w:hAnsi="Arial" w:cs="Arial"/>
          <w:sz w:val="24"/>
          <w:szCs w:val="24"/>
        </w:rPr>
      </w:pPr>
      <w:r>
        <w:rPr>
          <w:rFonts w:ascii="Arial" w:eastAsiaTheme="minorHAnsi" w:hAnsi="Arial" w:cs="Arial"/>
          <w:sz w:val="24"/>
          <w:szCs w:val="24"/>
        </w:rPr>
        <w:t xml:space="preserve">The development and introduction of electronic registers provides an opportunity for Wales to lead the way across the UK. I am keen to encourage all those with an interest in the future success of our commons to get involved in the process as we develop the new system for Wales. Details of how to register interest and become involved are available at </w:t>
      </w:r>
    </w:p>
    <w:p w:rsidR="00135F02" w:rsidRDefault="00135F02" w:rsidP="00286D73">
      <w:pPr>
        <w:contextualSpacing/>
        <w:rPr>
          <w:rFonts w:ascii="Arial" w:eastAsiaTheme="minorHAnsi" w:hAnsi="Arial" w:cs="Arial"/>
          <w:sz w:val="24"/>
          <w:szCs w:val="24"/>
        </w:rPr>
      </w:pPr>
    </w:p>
    <w:p w:rsidR="00135F02" w:rsidRDefault="001122F1" w:rsidP="00286D73">
      <w:pPr>
        <w:contextualSpacing/>
        <w:rPr>
          <w:rFonts w:ascii="Arial" w:eastAsiaTheme="minorHAnsi" w:hAnsi="Arial" w:cs="Arial"/>
          <w:sz w:val="24"/>
          <w:szCs w:val="24"/>
        </w:rPr>
      </w:pPr>
      <w:hyperlink r:id="rId8" w:history="1">
        <w:r w:rsidR="00135F02" w:rsidRPr="0052654F">
          <w:rPr>
            <w:rStyle w:val="Hyperlink"/>
            <w:rFonts w:ascii="Arial" w:eastAsiaTheme="minorHAnsi" w:hAnsi="Arial" w:cs="Arial"/>
            <w:sz w:val="24"/>
            <w:szCs w:val="24"/>
          </w:rPr>
          <w:t>http://gov.wales/topics/environmentcountryside/farmingandcountryside/common/commonsact2006/commons-section-25-electronic-registers/?skip=1&amp;lang=en</w:t>
        </w:r>
      </w:hyperlink>
    </w:p>
    <w:p w:rsidR="00135F02" w:rsidRDefault="00135F02" w:rsidP="00286D73">
      <w:pPr>
        <w:contextualSpacing/>
        <w:rPr>
          <w:rFonts w:ascii="Arial" w:eastAsiaTheme="minorHAnsi" w:hAnsi="Arial" w:cs="Arial"/>
          <w:sz w:val="24"/>
          <w:szCs w:val="24"/>
        </w:rPr>
      </w:pPr>
    </w:p>
    <w:p w:rsidR="00286D73" w:rsidRPr="00DB0178" w:rsidRDefault="00286D73" w:rsidP="00286D73">
      <w:pPr>
        <w:contextualSpacing/>
        <w:rPr>
          <w:rFonts w:ascii="Arial" w:eastAsiaTheme="minorHAnsi" w:hAnsi="Arial" w:cs="Arial"/>
          <w:sz w:val="24"/>
          <w:szCs w:val="24"/>
        </w:rPr>
      </w:pPr>
    </w:p>
    <w:p w:rsidR="00BD2489" w:rsidRPr="008C66CA" w:rsidRDefault="00006311" w:rsidP="008C66CA">
      <w:pPr>
        <w:shd w:val="clear" w:color="auto" w:fill="FFFFFF"/>
        <w:spacing w:line="360" w:lineRule="atLeast"/>
        <w:rPr>
          <w:rFonts w:ascii="Arial" w:hAnsi="Arial" w:cs="Arial"/>
          <w:color w:val="333333"/>
          <w:sz w:val="24"/>
          <w:szCs w:val="24"/>
          <w:lang w:val="en" w:eastAsia="en-GB"/>
        </w:rPr>
      </w:pPr>
      <w:r>
        <w:rPr>
          <w:rFonts w:ascii="Arial" w:hAnsi="Arial" w:cs="Arial"/>
          <w:color w:val="333333"/>
          <w:sz w:val="24"/>
          <w:szCs w:val="24"/>
          <w:lang w:val="en" w:eastAsia="en-GB"/>
        </w:rPr>
        <w:t xml:space="preserve">I will </w:t>
      </w:r>
      <w:r w:rsidR="00EA1DA3">
        <w:rPr>
          <w:rFonts w:ascii="Arial" w:hAnsi="Arial" w:cs="Arial"/>
          <w:color w:val="333333"/>
          <w:sz w:val="24"/>
          <w:szCs w:val="24"/>
          <w:lang w:val="en" w:eastAsia="en-GB"/>
        </w:rPr>
        <w:t xml:space="preserve">continue to </w:t>
      </w:r>
      <w:r w:rsidR="004F45C1">
        <w:rPr>
          <w:rFonts w:ascii="Arial" w:hAnsi="Arial" w:cs="Arial"/>
          <w:color w:val="333333"/>
          <w:sz w:val="24"/>
          <w:szCs w:val="24"/>
          <w:lang w:val="en" w:eastAsia="en-GB"/>
        </w:rPr>
        <w:t xml:space="preserve">keep </w:t>
      </w:r>
      <w:r w:rsidR="009E3E8B">
        <w:rPr>
          <w:rFonts w:ascii="Arial" w:hAnsi="Arial" w:cs="Arial"/>
          <w:color w:val="333333"/>
          <w:sz w:val="24"/>
          <w:szCs w:val="24"/>
          <w:lang w:val="en" w:eastAsia="en-GB"/>
        </w:rPr>
        <w:t xml:space="preserve">Members </w:t>
      </w:r>
      <w:r w:rsidR="004F45C1">
        <w:rPr>
          <w:rFonts w:ascii="Arial" w:hAnsi="Arial" w:cs="Arial"/>
          <w:color w:val="333333"/>
          <w:sz w:val="24"/>
          <w:szCs w:val="24"/>
          <w:lang w:val="en" w:eastAsia="en-GB"/>
        </w:rPr>
        <w:t>updated on progress.</w:t>
      </w:r>
      <w:r w:rsidR="007E0D87">
        <w:rPr>
          <w:rFonts w:ascii="Arial" w:hAnsi="Arial" w:cs="Arial"/>
          <w:color w:val="333333"/>
          <w:sz w:val="24"/>
          <w:szCs w:val="24"/>
          <w:lang w:val="en" w:eastAsia="en-GB"/>
        </w:rPr>
        <w:t xml:space="preserve"> </w:t>
      </w:r>
      <w:r w:rsidR="00957E28">
        <w:rPr>
          <w:rFonts w:ascii="Arial" w:hAnsi="Arial" w:cs="Arial"/>
          <w:color w:val="333333"/>
          <w:sz w:val="24"/>
          <w:szCs w:val="24"/>
          <w:lang w:val="en" w:eastAsia="en-GB"/>
        </w:rPr>
        <w:t xml:space="preserve"> </w:t>
      </w:r>
    </w:p>
    <w:p w:rsidR="008C66CA" w:rsidRPr="00A011A1" w:rsidRDefault="00605A5D" w:rsidP="00EA5290">
      <w:r>
        <w:t xml:space="preserve"> </w:t>
      </w:r>
    </w:p>
    <w:p w:rsidR="00EA5290" w:rsidRDefault="00EA5290" w:rsidP="00EA5290">
      <w:pPr>
        <w:pStyle w:val="BodyText"/>
        <w:jc w:val="left"/>
        <w:rPr>
          <w:lang w:val="en-US"/>
        </w:rPr>
      </w:pPr>
    </w:p>
    <w:p w:rsidR="002F0A5E" w:rsidRDefault="002F0A5E" w:rsidP="00EA5290">
      <w:pPr>
        <w:pStyle w:val="BodyText"/>
        <w:jc w:val="left"/>
        <w:rPr>
          <w:lang w:val="en-US"/>
        </w:rPr>
      </w:pPr>
    </w:p>
    <w:p w:rsidR="002F0A5E" w:rsidRDefault="002F0A5E" w:rsidP="00EA5290">
      <w:pPr>
        <w:pStyle w:val="BodyText"/>
        <w:jc w:val="left"/>
        <w:rPr>
          <w:lang w:val="en-US"/>
        </w:rPr>
      </w:pPr>
    </w:p>
    <w:p w:rsidR="004F45C1" w:rsidRDefault="007F52FE" w:rsidP="00EA5290">
      <w:pPr>
        <w:pStyle w:val="BodyText"/>
        <w:jc w:val="left"/>
        <w:rPr>
          <w:lang w:val="en-US"/>
        </w:rPr>
      </w:pPr>
      <w:r>
        <w:rPr>
          <w:lang w:val="en-US"/>
        </w:rPr>
        <w:t>Annex One</w:t>
      </w:r>
    </w:p>
    <w:p w:rsidR="00A845A9" w:rsidRDefault="00A845A9" w:rsidP="00A845A9"/>
    <w:p w:rsidR="006C198C" w:rsidRPr="006C198C" w:rsidRDefault="006C198C" w:rsidP="006C198C">
      <w:pPr>
        <w:spacing w:before="120" w:after="120" w:line="276" w:lineRule="auto"/>
        <w:contextualSpacing/>
        <w:rPr>
          <w:rFonts w:ascii="Arial" w:eastAsiaTheme="minorHAnsi" w:hAnsi="Arial" w:cstheme="minorBidi"/>
          <w:b/>
          <w:sz w:val="24"/>
          <w:szCs w:val="22"/>
        </w:rPr>
      </w:pPr>
      <w:r w:rsidRPr="006C198C">
        <w:rPr>
          <w:rFonts w:ascii="Arial" w:eastAsiaTheme="minorHAnsi" w:hAnsi="Arial" w:cstheme="minorBidi"/>
          <w:b/>
          <w:sz w:val="24"/>
          <w:szCs w:val="22"/>
        </w:rPr>
        <w:t>Table 1: Project Phases and Indicative Timeline</w:t>
      </w:r>
    </w:p>
    <w:p w:rsidR="006C198C" w:rsidRPr="006C198C" w:rsidRDefault="006C198C" w:rsidP="006C198C">
      <w:pPr>
        <w:spacing w:before="120" w:after="120" w:line="276" w:lineRule="auto"/>
        <w:contextualSpacing/>
        <w:rPr>
          <w:rFonts w:ascii="Arial" w:eastAsiaTheme="minorHAnsi" w:hAnsi="Arial" w:cstheme="minorBidi"/>
          <w:b/>
          <w:i/>
          <w:sz w:val="24"/>
          <w:szCs w:val="22"/>
        </w:rPr>
      </w:pPr>
    </w:p>
    <w:tbl>
      <w:tblPr>
        <w:tblStyle w:val="TableGrid"/>
        <w:tblW w:w="8051" w:type="dxa"/>
        <w:tblInd w:w="137" w:type="dxa"/>
        <w:tblLayout w:type="fixed"/>
        <w:tblLook w:val="04A0" w:firstRow="1" w:lastRow="0" w:firstColumn="1" w:lastColumn="0" w:noHBand="0" w:noVBand="1"/>
      </w:tblPr>
      <w:tblGrid>
        <w:gridCol w:w="992"/>
        <w:gridCol w:w="1560"/>
        <w:gridCol w:w="4649"/>
        <w:gridCol w:w="850"/>
      </w:tblGrid>
      <w:tr w:rsidR="006C198C" w:rsidRPr="006C198C" w:rsidTr="009D088D">
        <w:tc>
          <w:tcPr>
            <w:tcW w:w="992" w:type="dxa"/>
          </w:tcPr>
          <w:p w:rsidR="006C198C" w:rsidRPr="006C198C" w:rsidRDefault="006C198C" w:rsidP="006C198C">
            <w:pPr>
              <w:spacing w:before="120" w:after="120"/>
              <w:contextualSpacing/>
              <w:jc w:val="center"/>
              <w:rPr>
                <w:rFonts w:ascii="Arial" w:hAnsi="Arial"/>
                <w:b/>
                <w:sz w:val="24"/>
              </w:rPr>
            </w:pPr>
            <w:r w:rsidRPr="006C198C">
              <w:rPr>
                <w:rFonts w:ascii="Arial" w:hAnsi="Arial"/>
                <w:b/>
                <w:sz w:val="24"/>
              </w:rPr>
              <w:t>Phase</w:t>
            </w:r>
          </w:p>
        </w:tc>
        <w:tc>
          <w:tcPr>
            <w:tcW w:w="1560" w:type="dxa"/>
          </w:tcPr>
          <w:p w:rsidR="006C198C" w:rsidRPr="006C198C" w:rsidRDefault="006C198C" w:rsidP="006C198C">
            <w:pPr>
              <w:spacing w:before="120" w:after="120"/>
              <w:contextualSpacing/>
              <w:jc w:val="center"/>
              <w:rPr>
                <w:rFonts w:ascii="Arial" w:hAnsi="Arial"/>
                <w:b/>
                <w:sz w:val="24"/>
              </w:rPr>
            </w:pPr>
            <w:r w:rsidRPr="006C198C">
              <w:rPr>
                <w:rFonts w:ascii="Arial" w:hAnsi="Arial"/>
                <w:b/>
                <w:sz w:val="24"/>
              </w:rPr>
              <w:t>Title</w:t>
            </w:r>
          </w:p>
        </w:tc>
        <w:tc>
          <w:tcPr>
            <w:tcW w:w="4649" w:type="dxa"/>
          </w:tcPr>
          <w:p w:rsidR="006C198C" w:rsidRPr="006C198C" w:rsidRDefault="006C198C" w:rsidP="006C198C">
            <w:pPr>
              <w:spacing w:before="120" w:after="120"/>
              <w:contextualSpacing/>
              <w:rPr>
                <w:rFonts w:ascii="Arial" w:hAnsi="Arial"/>
                <w:b/>
                <w:sz w:val="24"/>
              </w:rPr>
            </w:pPr>
            <w:r w:rsidRPr="006C198C">
              <w:rPr>
                <w:rFonts w:ascii="Arial" w:hAnsi="Arial"/>
                <w:b/>
                <w:sz w:val="24"/>
              </w:rPr>
              <w:t>Summary of Key Elements</w:t>
            </w:r>
          </w:p>
        </w:tc>
        <w:tc>
          <w:tcPr>
            <w:tcW w:w="850" w:type="dxa"/>
            <w:vMerge w:val="restart"/>
          </w:tcPr>
          <w:p w:rsidR="006C198C" w:rsidRDefault="006C198C" w:rsidP="006C198C">
            <w:pPr>
              <w:spacing w:before="120" w:after="120"/>
              <w:contextualSpacing/>
              <w:jc w:val="center"/>
              <w:rPr>
                <w:rFonts w:ascii="Arial" w:hAnsi="Arial"/>
                <w:b/>
                <w:sz w:val="24"/>
              </w:rPr>
            </w:pPr>
            <w:r>
              <w:rPr>
                <w:rFonts w:ascii="Arial" w:hAnsi="Arial"/>
                <w:b/>
                <w:sz w:val="24"/>
              </w:rPr>
              <w:t>2017</w:t>
            </w:r>
          </w:p>
          <w:p w:rsidR="006C198C" w:rsidRDefault="000627B6" w:rsidP="006C198C">
            <w:pPr>
              <w:spacing w:before="120" w:after="120"/>
              <w:contextualSpacing/>
              <w:jc w:val="center"/>
              <w:rPr>
                <w:rFonts w:ascii="Arial" w:hAnsi="Arial"/>
                <w:b/>
                <w:sz w:val="24"/>
              </w:rPr>
            </w:pPr>
            <w:r>
              <w:rPr>
                <w:rFonts w:ascii="Arial" w:hAnsi="Arial"/>
                <w:b/>
                <w:noProof/>
                <w:sz w:val="24"/>
                <w:lang w:eastAsia="en-GB"/>
              </w:rPr>
              <mc:AlternateContent>
                <mc:Choice Requires="wps">
                  <w:drawing>
                    <wp:anchor distT="0" distB="0" distL="114300" distR="114300" simplePos="0" relativeHeight="251659264" behindDoc="0" locked="0" layoutInCell="1" allowOverlap="1" wp14:anchorId="2EE06C7B" wp14:editId="72AE7755">
                      <wp:simplePos x="0" y="0"/>
                      <wp:positionH relativeFrom="column">
                        <wp:posOffset>182880</wp:posOffset>
                      </wp:positionH>
                      <wp:positionV relativeFrom="paragraph">
                        <wp:posOffset>5715</wp:posOffset>
                      </wp:positionV>
                      <wp:extent cx="28575" cy="3609975"/>
                      <wp:effectExtent l="114300" t="19050" r="85725" b="85725"/>
                      <wp:wrapNone/>
                      <wp:docPr id="3" name="Straight Arrow Connector 3"/>
                      <wp:cNvGraphicFramePr/>
                      <a:graphic xmlns:a="http://schemas.openxmlformats.org/drawingml/2006/main">
                        <a:graphicData uri="http://schemas.microsoft.com/office/word/2010/wordprocessingShape">
                          <wps:wsp>
                            <wps:cNvCnPr/>
                            <wps:spPr>
                              <a:xfrm>
                                <a:off x="0" y="0"/>
                                <a:ext cx="28575" cy="36099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4pt;margin-top:.45pt;width:2.25pt;height:28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" strokecolor="black [3200]" strokeweight="3pt">
                      <v:stroke endarrow="open"/>
                      <v:shadow on="t" color="black" opacity="22937f" origin=",.5" offset="0,.63889mm"/>
                    </v:shape>
                  </w:pict>
                </mc:Fallback>
              </mc:AlternateContent>
            </w: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Default="006C198C" w:rsidP="006C198C">
            <w:pPr>
              <w:spacing w:before="120" w:after="120"/>
              <w:contextualSpacing/>
              <w:jc w:val="center"/>
              <w:rPr>
                <w:rFonts w:ascii="Arial" w:hAnsi="Arial"/>
                <w:b/>
                <w:sz w:val="24"/>
              </w:rPr>
            </w:pPr>
          </w:p>
          <w:p w:rsidR="006C198C" w:rsidRPr="006C198C" w:rsidRDefault="006C198C" w:rsidP="006C198C">
            <w:pPr>
              <w:spacing w:before="120" w:after="120"/>
              <w:contextualSpacing/>
              <w:jc w:val="center"/>
              <w:rPr>
                <w:rFonts w:ascii="Arial" w:hAnsi="Arial"/>
                <w:b/>
                <w:sz w:val="24"/>
              </w:rPr>
            </w:pPr>
          </w:p>
          <w:p w:rsidR="006C198C" w:rsidRPr="000627B6" w:rsidRDefault="006C198C" w:rsidP="006C198C">
            <w:pPr>
              <w:spacing w:before="120" w:after="120"/>
              <w:contextualSpacing/>
              <w:jc w:val="center"/>
              <w:rPr>
                <w:rFonts w:ascii="Arial" w:hAnsi="Arial"/>
                <w:b/>
                <w:sz w:val="24"/>
              </w:rPr>
            </w:pPr>
            <w:r w:rsidRPr="000627B6">
              <w:rPr>
                <w:rFonts w:ascii="Arial" w:hAnsi="Arial"/>
                <w:b/>
                <w:sz w:val="24"/>
              </w:rPr>
              <w:t>2021</w:t>
            </w:r>
          </w:p>
        </w:tc>
      </w:tr>
      <w:tr w:rsidR="006C198C" w:rsidRPr="006C198C" w:rsidTr="009D088D">
        <w:tc>
          <w:tcPr>
            <w:tcW w:w="992" w:type="dxa"/>
            <w:vAlign w:val="center"/>
          </w:tcPr>
          <w:p w:rsidR="006C198C" w:rsidRPr="006C198C" w:rsidRDefault="006C198C" w:rsidP="006C198C">
            <w:pPr>
              <w:spacing w:before="120" w:after="120"/>
              <w:contextualSpacing/>
              <w:jc w:val="center"/>
              <w:rPr>
                <w:rFonts w:ascii="Arial" w:hAnsi="Arial"/>
                <w:sz w:val="24"/>
              </w:rPr>
            </w:pPr>
            <w:r w:rsidRPr="006C198C">
              <w:rPr>
                <w:rFonts w:ascii="Arial" w:hAnsi="Arial"/>
                <w:sz w:val="24"/>
              </w:rPr>
              <w:t>1</w:t>
            </w:r>
          </w:p>
        </w:tc>
        <w:tc>
          <w:tcPr>
            <w:tcW w:w="1560" w:type="dxa"/>
            <w:vAlign w:val="center"/>
          </w:tcPr>
          <w:p w:rsidR="006C198C" w:rsidRPr="006C198C" w:rsidRDefault="006C198C" w:rsidP="006C198C">
            <w:pPr>
              <w:spacing w:before="120" w:after="120"/>
              <w:contextualSpacing/>
              <w:rPr>
                <w:rFonts w:ascii="Arial" w:hAnsi="Arial"/>
                <w:sz w:val="24"/>
              </w:rPr>
            </w:pPr>
            <w:r w:rsidRPr="006C198C">
              <w:rPr>
                <w:rFonts w:ascii="Arial" w:hAnsi="Arial"/>
                <w:sz w:val="24"/>
              </w:rPr>
              <w:t>Project Start Up</w:t>
            </w:r>
          </w:p>
        </w:tc>
        <w:tc>
          <w:tcPr>
            <w:tcW w:w="4649" w:type="dxa"/>
          </w:tcPr>
          <w:p w:rsidR="006C198C" w:rsidRPr="006C198C" w:rsidRDefault="006C198C" w:rsidP="006C198C">
            <w:pPr>
              <w:spacing w:before="120" w:after="120"/>
              <w:contextualSpacing/>
              <w:rPr>
                <w:rFonts w:ascii="Arial" w:hAnsi="Arial"/>
                <w:sz w:val="24"/>
              </w:rPr>
            </w:pPr>
            <w:r w:rsidRPr="006C198C">
              <w:rPr>
                <w:rFonts w:ascii="Arial" w:hAnsi="Arial"/>
                <w:sz w:val="24"/>
              </w:rPr>
              <w:t>Establish Governance arrangements, stakeholder mapping, risk and benefit analysis, initial discussions on procurement and security</w:t>
            </w:r>
          </w:p>
        </w:tc>
        <w:tc>
          <w:tcPr>
            <w:tcW w:w="850" w:type="dxa"/>
            <w:vMerge/>
          </w:tcPr>
          <w:p w:rsidR="006C198C" w:rsidRPr="006C198C" w:rsidRDefault="006C198C" w:rsidP="006C198C">
            <w:pPr>
              <w:spacing w:before="120" w:after="120"/>
              <w:contextualSpacing/>
              <w:jc w:val="center"/>
              <w:rPr>
                <w:rFonts w:ascii="Arial" w:hAnsi="Arial"/>
                <w:sz w:val="24"/>
              </w:rPr>
            </w:pPr>
          </w:p>
        </w:tc>
      </w:tr>
      <w:tr w:rsidR="006C198C" w:rsidRPr="006C198C" w:rsidTr="009D088D">
        <w:tc>
          <w:tcPr>
            <w:tcW w:w="992" w:type="dxa"/>
            <w:vAlign w:val="center"/>
          </w:tcPr>
          <w:p w:rsidR="006C198C" w:rsidRPr="006C198C" w:rsidRDefault="006C198C" w:rsidP="006C198C">
            <w:pPr>
              <w:spacing w:before="120" w:after="120"/>
              <w:contextualSpacing/>
              <w:jc w:val="center"/>
              <w:rPr>
                <w:rFonts w:ascii="Arial" w:hAnsi="Arial"/>
                <w:sz w:val="24"/>
              </w:rPr>
            </w:pPr>
            <w:r>
              <w:rPr>
                <w:rFonts w:ascii="Arial" w:hAnsi="Arial"/>
                <w:sz w:val="24"/>
              </w:rPr>
              <w:t xml:space="preserve"> </w:t>
            </w:r>
            <w:r w:rsidRPr="006C198C">
              <w:rPr>
                <w:rFonts w:ascii="Arial" w:hAnsi="Arial"/>
                <w:sz w:val="24"/>
              </w:rPr>
              <w:t>2</w:t>
            </w:r>
          </w:p>
        </w:tc>
        <w:tc>
          <w:tcPr>
            <w:tcW w:w="1560" w:type="dxa"/>
            <w:vAlign w:val="center"/>
          </w:tcPr>
          <w:p w:rsidR="006C198C" w:rsidRPr="006C198C" w:rsidRDefault="006C198C" w:rsidP="006C198C">
            <w:pPr>
              <w:spacing w:before="120" w:after="120"/>
              <w:contextualSpacing/>
              <w:rPr>
                <w:rFonts w:ascii="Arial" w:hAnsi="Arial"/>
                <w:sz w:val="24"/>
              </w:rPr>
            </w:pPr>
            <w:r w:rsidRPr="006C198C">
              <w:rPr>
                <w:rFonts w:ascii="Arial" w:hAnsi="Arial"/>
                <w:sz w:val="24"/>
              </w:rPr>
              <w:t>System Design and Build</w:t>
            </w:r>
          </w:p>
        </w:tc>
        <w:tc>
          <w:tcPr>
            <w:tcW w:w="4649" w:type="dxa"/>
          </w:tcPr>
          <w:p w:rsidR="006C198C" w:rsidRPr="006C198C" w:rsidRDefault="006C198C" w:rsidP="006C198C">
            <w:pPr>
              <w:spacing w:before="120" w:after="120"/>
              <w:contextualSpacing/>
              <w:rPr>
                <w:rFonts w:ascii="Arial" w:hAnsi="Arial"/>
                <w:sz w:val="24"/>
              </w:rPr>
            </w:pPr>
            <w:r w:rsidRPr="006C198C">
              <w:rPr>
                <w:rFonts w:ascii="Arial" w:hAnsi="Arial"/>
                <w:sz w:val="24"/>
              </w:rPr>
              <w:t>Procuring a specification to inform options on systems build, systems hosting and data migration. Build of system.</w:t>
            </w:r>
          </w:p>
        </w:tc>
        <w:tc>
          <w:tcPr>
            <w:tcW w:w="850" w:type="dxa"/>
            <w:vMerge/>
          </w:tcPr>
          <w:p w:rsidR="006C198C" w:rsidRPr="006C198C" w:rsidRDefault="006C198C" w:rsidP="006C198C">
            <w:pPr>
              <w:spacing w:before="120" w:after="120"/>
              <w:contextualSpacing/>
              <w:jc w:val="center"/>
              <w:rPr>
                <w:rFonts w:ascii="Arial" w:hAnsi="Arial"/>
                <w:sz w:val="24"/>
              </w:rPr>
            </w:pPr>
          </w:p>
        </w:tc>
      </w:tr>
      <w:tr w:rsidR="006C198C" w:rsidRPr="006C198C" w:rsidTr="009D088D">
        <w:tc>
          <w:tcPr>
            <w:tcW w:w="992" w:type="dxa"/>
            <w:vAlign w:val="center"/>
          </w:tcPr>
          <w:p w:rsidR="006C198C" w:rsidRPr="006C198C" w:rsidRDefault="006C198C" w:rsidP="006C198C">
            <w:pPr>
              <w:spacing w:before="120" w:after="120"/>
              <w:contextualSpacing/>
              <w:jc w:val="center"/>
              <w:rPr>
                <w:rFonts w:ascii="Arial" w:hAnsi="Arial"/>
                <w:sz w:val="24"/>
              </w:rPr>
            </w:pPr>
            <w:r w:rsidRPr="006C198C">
              <w:rPr>
                <w:rFonts w:ascii="Arial" w:hAnsi="Arial"/>
                <w:sz w:val="24"/>
              </w:rPr>
              <w:t>3</w:t>
            </w:r>
          </w:p>
        </w:tc>
        <w:tc>
          <w:tcPr>
            <w:tcW w:w="1560" w:type="dxa"/>
            <w:vAlign w:val="center"/>
          </w:tcPr>
          <w:p w:rsidR="006C198C" w:rsidRPr="006C198C" w:rsidRDefault="006C198C" w:rsidP="006C198C">
            <w:pPr>
              <w:spacing w:before="120" w:after="120"/>
              <w:contextualSpacing/>
              <w:rPr>
                <w:rFonts w:ascii="Arial" w:hAnsi="Arial"/>
                <w:sz w:val="24"/>
              </w:rPr>
            </w:pPr>
            <w:r w:rsidRPr="006C198C">
              <w:rPr>
                <w:rFonts w:ascii="Arial" w:hAnsi="Arial"/>
                <w:sz w:val="24"/>
              </w:rPr>
              <w:t>Data Migration</w:t>
            </w:r>
          </w:p>
        </w:tc>
        <w:tc>
          <w:tcPr>
            <w:tcW w:w="4649" w:type="dxa"/>
          </w:tcPr>
          <w:p w:rsidR="006C198C" w:rsidRPr="006C198C" w:rsidRDefault="006C198C" w:rsidP="006C198C">
            <w:pPr>
              <w:spacing w:before="120" w:after="120"/>
              <w:contextualSpacing/>
              <w:rPr>
                <w:rFonts w:ascii="Arial" w:hAnsi="Arial"/>
                <w:sz w:val="24"/>
              </w:rPr>
            </w:pPr>
            <w:r w:rsidRPr="006C198C">
              <w:rPr>
                <w:rFonts w:ascii="Arial" w:hAnsi="Arial"/>
                <w:sz w:val="24"/>
              </w:rPr>
              <w:t>Implement process to migrate all paper maps and registers to the electronic system and quality assure.</w:t>
            </w:r>
          </w:p>
        </w:tc>
        <w:tc>
          <w:tcPr>
            <w:tcW w:w="850" w:type="dxa"/>
            <w:vMerge/>
          </w:tcPr>
          <w:p w:rsidR="006C198C" w:rsidRPr="006C198C" w:rsidRDefault="006C198C" w:rsidP="006C198C">
            <w:pPr>
              <w:spacing w:before="120" w:after="120"/>
              <w:contextualSpacing/>
              <w:jc w:val="center"/>
              <w:rPr>
                <w:rFonts w:ascii="Arial" w:hAnsi="Arial"/>
                <w:sz w:val="24"/>
              </w:rPr>
            </w:pPr>
          </w:p>
        </w:tc>
      </w:tr>
      <w:tr w:rsidR="006C198C" w:rsidRPr="006C198C" w:rsidTr="009D088D">
        <w:tc>
          <w:tcPr>
            <w:tcW w:w="992" w:type="dxa"/>
            <w:vAlign w:val="center"/>
          </w:tcPr>
          <w:p w:rsidR="006C198C" w:rsidRPr="006C198C" w:rsidRDefault="006C198C" w:rsidP="006C198C">
            <w:pPr>
              <w:spacing w:before="120" w:after="120"/>
              <w:contextualSpacing/>
              <w:jc w:val="center"/>
              <w:rPr>
                <w:rFonts w:ascii="Arial" w:hAnsi="Arial"/>
                <w:sz w:val="24"/>
              </w:rPr>
            </w:pPr>
            <w:r w:rsidRPr="006C198C">
              <w:rPr>
                <w:rFonts w:ascii="Arial" w:hAnsi="Arial"/>
                <w:sz w:val="24"/>
              </w:rPr>
              <w:t>4</w:t>
            </w:r>
          </w:p>
        </w:tc>
        <w:tc>
          <w:tcPr>
            <w:tcW w:w="1560" w:type="dxa"/>
            <w:vAlign w:val="center"/>
          </w:tcPr>
          <w:p w:rsidR="006C198C" w:rsidRPr="006C198C" w:rsidRDefault="006C198C" w:rsidP="006C198C">
            <w:pPr>
              <w:spacing w:before="120" w:after="120"/>
              <w:contextualSpacing/>
              <w:rPr>
                <w:rFonts w:ascii="Arial" w:hAnsi="Arial"/>
                <w:sz w:val="24"/>
              </w:rPr>
            </w:pPr>
            <w:r w:rsidRPr="006C198C">
              <w:rPr>
                <w:rFonts w:ascii="Arial" w:hAnsi="Arial"/>
                <w:sz w:val="24"/>
              </w:rPr>
              <w:t>Deployment</w:t>
            </w:r>
          </w:p>
        </w:tc>
        <w:tc>
          <w:tcPr>
            <w:tcW w:w="4649" w:type="dxa"/>
          </w:tcPr>
          <w:p w:rsidR="006C198C" w:rsidRPr="006C198C" w:rsidRDefault="006C198C" w:rsidP="006C198C">
            <w:pPr>
              <w:spacing w:before="120" w:after="120"/>
              <w:contextualSpacing/>
              <w:rPr>
                <w:rFonts w:ascii="Arial" w:hAnsi="Arial"/>
                <w:sz w:val="24"/>
              </w:rPr>
            </w:pPr>
            <w:r w:rsidRPr="006C198C">
              <w:rPr>
                <w:rFonts w:ascii="Arial" w:hAnsi="Arial"/>
                <w:sz w:val="24"/>
              </w:rPr>
              <w:t>Public consultation to verify the migration of paper records to the electronic system.</w:t>
            </w:r>
          </w:p>
          <w:p w:rsidR="006C198C" w:rsidRPr="006C198C" w:rsidRDefault="006C198C" w:rsidP="006C198C">
            <w:pPr>
              <w:spacing w:before="120" w:after="120"/>
              <w:contextualSpacing/>
              <w:rPr>
                <w:rFonts w:ascii="Arial" w:hAnsi="Arial"/>
                <w:sz w:val="24"/>
              </w:rPr>
            </w:pPr>
            <w:r w:rsidRPr="006C198C">
              <w:rPr>
                <w:rFonts w:ascii="Arial" w:hAnsi="Arial"/>
                <w:sz w:val="24"/>
              </w:rPr>
              <w:t xml:space="preserve">Working with </w:t>
            </w:r>
            <w:r w:rsidR="002F0A5E">
              <w:rPr>
                <w:rFonts w:ascii="Arial" w:hAnsi="Arial"/>
                <w:sz w:val="24"/>
              </w:rPr>
              <w:t xml:space="preserve">Commons Registration Authorities (CRAs) </w:t>
            </w:r>
            <w:r w:rsidRPr="006C198C">
              <w:rPr>
                <w:rFonts w:ascii="Arial" w:hAnsi="Arial"/>
                <w:sz w:val="24"/>
              </w:rPr>
              <w:t>to agree implementation and training</w:t>
            </w:r>
          </w:p>
          <w:p w:rsidR="006C198C" w:rsidRPr="006C198C" w:rsidRDefault="006C198C" w:rsidP="006C198C">
            <w:pPr>
              <w:spacing w:before="120" w:after="120"/>
              <w:contextualSpacing/>
              <w:rPr>
                <w:rFonts w:ascii="Arial" w:hAnsi="Arial"/>
                <w:sz w:val="24"/>
              </w:rPr>
            </w:pPr>
            <w:r w:rsidRPr="006C198C">
              <w:rPr>
                <w:rFonts w:ascii="Arial" w:hAnsi="Arial"/>
                <w:sz w:val="24"/>
              </w:rPr>
              <w:t xml:space="preserve">Agreeing roles and responsibilities (both within Welsh Government and </w:t>
            </w:r>
            <w:r w:rsidR="002F0A5E">
              <w:rPr>
                <w:rFonts w:ascii="Arial" w:hAnsi="Arial"/>
                <w:sz w:val="24"/>
              </w:rPr>
              <w:t>CRAs</w:t>
            </w:r>
            <w:r w:rsidRPr="006C198C">
              <w:rPr>
                <w:rFonts w:ascii="Arial" w:hAnsi="Arial"/>
                <w:sz w:val="24"/>
              </w:rPr>
              <w:t>) to manage system going forwards.</w:t>
            </w:r>
          </w:p>
          <w:p w:rsidR="006C198C" w:rsidRPr="006C198C" w:rsidRDefault="006C198C" w:rsidP="006C198C">
            <w:pPr>
              <w:spacing w:before="120" w:after="120"/>
              <w:contextualSpacing/>
              <w:rPr>
                <w:rFonts w:ascii="Arial" w:hAnsi="Arial"/>
                <w:sz w:val="24"/>
              </w:rPr>
            </w:pPr>
          </w:p>
        </w:tc>
        <w:tc>
          <w:tcPr>
            <w:tcW w:w="850" w:type="dxa"/>
            <w:vMerge/>
          </w:tcPr>
          <w:p w:rsidR="006C198C" w:rsidRPr="006C198C" w:rsidRDefault="006C198C" w:rsidP="006C198C">
            <w:pPr>
              <w:spacing w:before="120" w:after="120"/>
              <w:contextualSpacing/>
              <w:jc w:val="center"/>
              <w:rPr>
                <w:rFonts w:ascii="Arial" w:hAnsi="Arial"/>
                <w:sz w:val="24"/>
              </w:rPr>
            </w:pPr>
          </w:p>
        </w:tc>
      </w:tr>
      <w:tr w:rsidR="006C198C" w:rsidRPr="006C198C" w:rsidTr="009D088D">
        <w:tc>
          <w:tcPr>
            <w:tcW w:w="7201" w:type="dxa"/>
            <w:gridSpan w:val="3"/>
            <w:vAlign w:val="center"/>
          </w:tcPr>
          <w:p w:rsidR="006C198C" w:rsidRPr="006C198C" w:rsidRDefault="006C198C" w:rsidP="006C198C">
            <w:pPr>
              <w:spacing w:before="120" w:after="120"/>
              <w:contextualSpacing/>
              <w:jc w:val="center"/>
              <w:rPr>
                <w:rFonts w:ascii="Arial" w:hAnsi="Arial"/>
                <w:sz w:val="24"/>
              </w:rPr>
            </w:pPr>
            <w:r w:rsidRPr="006C198C">
              <w:rPr>
                <w:rFonts w:ascii="Arial" w:hAnsi="Arial"/>
                <w:sz w:val="24"/>
              </w:rPr>
              <w:t>Business As Usual</w:t>
            </w:r>
          </w:p>
        </w:tc>
        <w:tc>
          <w:tcPr>
            <w:tcW w:w="850" w:type="dxa"/>
            <w:vMerge/>
          </w:tcPr>
          <w:p w:rsidR="006C198C" w:rsidRPr="006C198C" w:rsidRDefault="006C198C" w:rsidP="006C198C">
            <w:pPr>
              <w:spacing w:before="120" w:after="120"/>
              <w:contextualSpacing/>
              <w:jc w:val="center"/>
              <w:rPr>
                <w:rFonts w:ascii="Arial" w:hAnsi="Arial"/>
                <w:sz w:val="24"/>
              </w:rPr>
            </w:pPr>
          </w:p>
        </w:tc>
      </w:tr>
    </w:tbl>
    <w:p w:rsidR="006C198C" w:rsidRDefault="006C198C" w:rsidP="00A845A9"/>
    <w:sectPr w:rsidR="006C198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F8" w:rsidRDefault="00E459F8">
      <w:r>
        <w:separator/>
      </w:r>
    </w:p>
  </w:endnote>
  <w:endnote w:type="continuationSeparator" w:id="0">
    <w:p w:rsidR="00E459F8" w:rsidRDefault="00E4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9F8" w:rsidRDefault="00E4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2F1">
      <w:rPr>
        <w:rStyle w:val="PageNumber"/>
        <w:noProof/>
      </w:rPr>
      <w:t>2</w:t>
    </w:r>
    <w:r>
      <w:rPr>
        <w:rStyle w:val="PageNumber"/>
      </w:rPr>
      <w:fldChar w:fldCharType="end"/>
    </w:r>
  </w:p>
  <w:p w:rsidR="00E459F8" w:rsidRDefault="00E45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Pr="005D2A41" w:rsidRDefault="00E459F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122F1">
      <w:rPr>
        <w:rStyle w:val="PageNumber"/>
        <w:rFonts w:ascii="Arial" w:hAnsi="Arial" w:cs="Arial"/>
        <w:noProof/>
        <w:sz w:val="24"/>
        <w:szCs w:val="24"/>
      </w:rPr>
      <w:t>1</w:t>
    </w:r>
    <w:r w:rsidRPr="005D2A41">
      <w:rPr>
        <w:rStyle w:val="PageNumber"/>
        <w:rFonts w:ascii="Arial" w:hAnsi="Arial" w:cs="Arial"/>
        <w:sz w:val="24"/>
        <w:szCs w:val="24"/>
      </w:rPr>
      <w:fldChar w:fldCharType="end"/>
    </w:r>
  </w:p>
  <w:p w:rsidR="00E459F8" w:rsidRPr="00A845A9" w:rsidRDefault="00E459F8"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F8" w:rsidRDefault="00E459F8">
      <w:r>
        <w:separator/>
      </w:r>
    </w:p>
  </w:footnote>
  <w:footnote w:type="continuationSeparator" w:id="0">
    <w:p w:rsidR="00E459F8" w:rsidRDefault="00E4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r>
      <w:rPr>
        <w:noProof/>
        <w:lang w:eastAsia="en-GB"/>
      </w:rPr>
      <w:drawing>
        <wp:anchor distT="0" distB="0" distL="114300" distR="114300" simplePos="0" relativeHeight="251657728" behindDoc="1" locked="0" layoutInCell="1" allowOverlap="1" wp14:anchorId="6A3D2DB0" wp14:editId="480EB7A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459F8" w:rsidRDefault="00E459F8">
    <w:pPr>
      <w:pStyle w:val="Header"/>
    </w:pPr>
  </w:p>
  <w:p w:rsidR="00E459F8" w:rsidRDefault="00E45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C2C"/>
    <w:multiLevelType w:val="hybridMultilevel"/>
    <w:tmpl w:val="CBEC9C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F267CE"/>
    <w:multiLevelType w:val="hybridMultilevel"/>
    <w:tmpl w:val="1EA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6311"/>
    <w:rsid w:val="00023B69"/>
    <w:rsid w:val="000516D9"/>
    <w:rsid w:val="000627B6"/>
    <w:rsid w:val="00082B81"/>
    <w:rsid w:val="00090C3D"/>
    <w:rsid w:val="00097118"/>
    <w:rsid w:val="000C3A52"/>
    <w:rsid w:val="000C53DB"/>
    <w:rsid w:val="000C7684"/>
    <w:rsid w:val="000D20FA"/>
    <w:rsid w:val="000F4251"/>
    <w:rsid w:val="001122F1"/>
    <w:rsid w:val="0011453B"/>
    <w:rsid w:val="00127F92"/>
    <w:rsid w:val="00134918"/>
    <w:rsid w:val="00135F02"/>
    <w:rsid w:val="001460B1"/>
    <w:rsid w:val="00163B35"/>
    <w:rsid w:val="0017102C"/>
    <w:rsid w:val="001A39E2"/>
    <w:rsid w:val="001A6AF1"/>
    <w:rsid w:val="001B027C"/>
    <w:rsid w:val="001B288D"/>
    <w:rsid w:val="001C532F"/>
    <w:rsid w:val="00214B25"/>
    <w:rsid w:val="00223E62"/>
    <w:rsid w:val="00274F08"/>
    <w:rsid w:val="00286D73"/>
    <w:rsid w:val="002A5310"/>
    <w:rsid w:val="002C57B6"/>
    <w:rsid w:val="002F0A5E"/>
    <w:rsid w:val="002F0EB9"/>
    <w:rsid w:val="002F53A9"/>
    <w:rsid w:val="00314E36"/>
    <w:rsid w:val="003220C1"/>
    <w:rsid w:val="00356D7B"/>
    <w:rsid w:val="00357893"/>
    <w:rsid w:val="003670C1"/>
    <w:rsid w:val="00370471"/>
    <w:rsid w:val="003751A2"/>
    <w:rsid w:val="003B1503"/>
    <w:rsid w:val="003B3D64"/>
    <w:rsid w:val="003C5133"/>
    <w:rsid w:val="003F1C1A"/>
    <w:rsid w:val="0040282E"/>
    <w:rsid w:val="00412673"/>
    <w:rsid w:val="0043031D"/>
    <w:rsid w:val="0046757C"/>
    <w:rsid w:val="00476E81"/>
    <w:rsid w:val="004F45C1"/>
    <w:rsid w:val="00560F1F"/>
    <w:rsid w:val="00574BB3"/>
    <w:rsid w:val="005A22E2"/>
    <w:rsid w:val="005B030B"/>
    <w:rsid w:val="005C4CAB"/>
    <w:rsid w:val="005D2A41"/>
    <w:rsid w:val="005D7663"/>
    <w:rsid w:val="005F2B00"/>
    <w:rsid w:val="00605A5D"/>
    <w:rsid w:val="00654C0A"/>
    <w:rsid w:val="006633C7"/>
    <w:rsid w:val="00663F04"/>
    <w:rsid w:val="00670227"/>
    <w:rsid w:val="006814BD"/>
    <w:rsid w:val="0069133F"/>
    <w:rsid w:val="006B340E"/>
    <w:rsid w:val="006B461D"/>
    <w:rsid w:val="006C198C"/>
    <w:rsid w:val="006E0A2C"/>
    <w:rsid w:val="00703993"/>
    <w:rsid w:val="0073380E"/>
    <w:rsid w:val="00743B79"/>
    <w:rsid w:val="007523BC"/>
    <w:rsid w:val="00752C48"/>
    <w:rsid w:val="007A05FB"/>
    <w:rsid w:val="007B5260"/>
    <w:rsid w:val="007C24E7"/>
    <w:rsid w:val="007D1402"/>
    <w:rsid w:val="007E0D87"/>
    <w:rsid w:val="007F52FE"/>
    <w:rsid w:val="007F5E64"/>
    <w:rsid w:val="00800FA0"/>
    <w:rsid w:val="00812370"/>
    <w:rsid w:val="0082411A"/>
    <w:rsid w:val="00841628"/>
    <w:rsid w:val="00846160"/>
    <w:rsid w:val="00877BD2"/>
    <w:rsid w:val="008B7927"/>
    <w:rsid w:val="008C66CA"/>
    <w:rsid w:val="008D1E0B"/>
    <w:rsid w:val="008F0CC6"/>
    <w:rsid w:val="008F789E"/>
    <w:rsid w:val="00905771"/>
    <w:rsid w:val="00953A46"/>
    <w:rsid w:val="00957E28"/>
    <w:rsid w:val="00967473"/>
    <w:rsid w:val="00973090"/>
    <w:rsid w:val="00995EEC"/>
    <w:rsid w:val="00997A5C"/>
    <w:rsid w:val="009D088D"/>
    <w:rsid w:val="009D26D8"/>
    <w:rsid w:val="009E3E8B"/>
    <w:rsid w:val="009E4974"/>
    <w:rsid w:val="009E7215"/>
    <w:rsid w:val="009F06C3"/>
    <w:rsid w:val="00A204C9"/>
    <w:rsid w:val="00A23742"/>
    <w:rsid w:val="00A3247B"/>
    <w:rsid w:val="00A72CF3"/>
    <w:rsid w:val="00A82A45"/>
    <w:rsid w:val="00A845A9"/>
    <w:rsid w:val="00A86958"/>
    <w:rsid w:val="00AA5651"/>
    <w:rsid w:val="00AA5848"/>
    <w:rsid w:val="00AA7750"/>
    <w:rsid w:val="00AC3093"/>
    <w:rsid w:val="00AD65F1"/>
    <w:rsid w:val="00AE064D"/>
    <w:rsid w:val="00AF056B"/>
    <w:rsid w:val="00B049B1"/>
    <w:rsid w:val="00B239BA"/>
    <w:rsid w:val="00B468BB"/>
    <w:rsid w:val="00B81F17"/>
    <w:rsid w:val="00BD2489"/>
    <w:rsid w:val="00C43B4A"/>
    <w:rsid w:val="00C64FA5"/>
    <w:rsid w:val="00C7352E"/>
    <w:rsid w:val="00C84A12"/>
    <w:rsid w:val="00CD60EB"/>
    <w:rsid w:val="00CD698E"/>
    <w:rsid w:val="00CF3DC5"/>
    <w:rsid w:val="00D017E2"/>
    <w:rsid w:val="00D16D97"/>
    <w:rsid w:val="00D27F42"/>
    <w:rsid w:val="00D35202"/>
    <w:rsid w:val="00D551D5"/>
    <w:rsid w:val="00D84713"/>
    <w:rsid w:val="00DB0178"/>
    <w:rsid w:val="00DD4B82"/>
    <w:rsid w:val="00E1556F"/>
    <w:rsid w:val="00E3419E"/>
    <w:rsid w:val="00E459F8"/>
    <w:rsid w:val="00E47B1A"/>
    <w:rsid w:val="00E631B1"/>
    <w:rsid w:val="00EA1DA3"/>
    <w:rsid w:val="00EA5290"/>
    <w:rsid w:val="00EB248F"/>
    <w:rsid w:val="00EB5F93"/>
    <w:rsid w:val="00EC0568"/>
    <w:rsid w:val="00EE721A"/>
    <w:rsid w:val="00F0272E"/>
    <w:rsid w:val="00F05B30"/>
    <w:rsid w:val="00F2438B"/>
    <w:rsid w:val="00F81C33"/>
    <w:rsid w:val="00F97613"/>
    <w:rsid w:val="00FB5E1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6C198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3093"/>
    <w:rPr>
      <w:sz w:val="16"/>
      <w:szCs w:val="16"/>
    </w:rPr>
  </w:style>
  <w:style w:type="paragraph" w:styleId="CommentText">
    <w:name w:val="annotation text"/>
    <w:basedOn w:val="Normal"/>
    <w:link w:val="CommentTextChar"/>
    <w:rsid w:val="00AC3093"/>
    <w:rPr>
      <w:sz w:val="20"/>
    </w:rPr>
  </w:style>
  <w:style w:type="character" w:customStyle="1" w:styleId="CommentTextChar">
    <w:name w:val="Comment Text Char"/>
    <w:basedOn w:val="DefaultParagraphFont"/>
    <w:link w:val="CommentText"/>
    <w:rsid w:val="00AC3093"/>
    <w:rPr>
      <w:rFonts w:ascii="TradeGothic" w:hAnsi="TradeGothic"/>
      <w:lang w:eastAsia="en-US"/>
    </w:rPr>
  </w:style>
  <w:style w:type="paragraph" w:styleId="CommentSubject">
    <w:name w:val="annotation subject"/>
    <w:basedOn w:val="CommentText"/>
    <w:next w:val="CommentText"/>
    <w:link w:val="CommentSubjectChar"/>
    <w:rsid w:val="00AC3093"/>
    <w:rPr>
      <w:b/>
      <w:bCs/>
    </w:rPr>
  </w:style>
  <w:style w:type="character" w:customStyle="1" w:styleId="CommentSubjectChar">
    <w:name w:val="Comment Subject Char"/>
    <w:basedOn w:val="CommentTextChar"/>
    <w:link w:val="CommentSubject"/>
    <w:rsid w:val="00AC3093"/>
    <w:rPr>
      <w:rFonts w:ascii="TradeGothic" w:hAnsi="TradeGothic"/>
      <w:b/>
      <w:bCs/>
      <w:lang w:eastAsia="en-US"/>
    </w:rPr>
  </w:style>
  <w:style w:type="paragraph" w:styleId="BalloonText">
    <w:name w:val="Balloon Text"/>
    <w:basedOn w:val="Normal"/>
    <w:link w:val="BalloonTextChar"/>
    <w:rsid w:val="00AC3093"/>
    <w:rPr>
      <w:rFonts w:ascii="Tahoma" w:hAnsi="Tahoma" w:cs="Tahoma"/>
      <w:sz w:val="16"/>
      <w:szCs w:val="16"/>
    </w:rPr>
  </w:style>
  <w:style w:type="character" w:customStyle="1" w:styleId="BalloonTextChar">
    <w:name w:val="Balloon Text Char"/>
    <w:basedOn w:val="DefaultParagraphFont"/>
    <w:link w:val="BalloonText"/>
    <w:rsid w:val="00AC30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6C198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3093"/>
    <w:rPr>
      <w:sz w:val="16"/>
      <w:szCs w:val="16"/>
    </w:rPr>
  </w:style>
  <w:style w:type="paragraph" w:styleId="CommentText">
    <w:name w:val="annotation text"/>
    <w:basedOn w:val="Normal"/>
    <w:link w:val="CommentTextChar"/>
    <w:rsid w:val="00AC3093"/>
    <w:rPr>
      <w:sz w:val="20"/>
    </w:rPr>
  </w:style>
  <w:style w:type="character" w:customStyle="1" w:styleId="CommentTextChar">
    <w:name w:val="Comment Text Char"/>
    <w:basedOn w:val="DefaultParagraphFont"/>
    <w:link w:val="CommentText"/>
    <w:rsid w:val="00AC3093"/>
    <w:rPr>
      <w:rFonts w:ascii="TradeGothic" w:hAnsi="TradeGothic"/>
      <w:lang w:eastAsia="en-US"/>
    </w:rPr>
  </w:style>
  <w:style w:type="paragraph" w:styleId="CommentSubject">
    <w:name w:val="annotation subject"/>
    <w:basedOn w:val="CommentText"/>
    <w:next w:val="CommentText"/>
    <w:link w:val="CommentSubjectChar"/>
    <w:rsid w:val="00AC3093"/>
    <w:rPr>
      <w:b/>
      <w:bCs/>
    </w:rPr>
  </w:style>
  <w:style w:type="character" w:customStyle="1" w:styleId="CommentSubjectChar">
    <w:name w:val="Comment Subject Char"/>
    <w:basedOn w:val="CommentTextChar"/>
    <w:link w:val="CommentSubject"/>
    <w:rsid w:val="00AC3093"/>
    <w:rPr>
      <w:rFonts w:ascii="TradeGothic" w:hAnsi="TradeGothic"/>
      <w:b/>
      <w:bCs/>
      <w:lang w:eastAsia="en-US"/>
    </w:rPr>
  </w:style>
  <w:style w:type="paragraph" w:styleId="BalloonText">
    <w:name w:val="Balloon Text"/>
    <w:basedOn w:val="Normal"/>
    <w:link w:val="BalloonTextChar"/>
    <w:rsid w:val="00AC3093"/>
    <w:rPr>
      <w:rFonts w:ascii="Tahoma" w:hAnsi="Tahoma" w:cs="Tahoma"/>
      <w:sz w:val="16"/>
      <w:szCs w:val="16"/>
    </w:rPr>
  </w:style>
  <w:style w:type="character" w:customStyle="1" w:styleId="BalloonTextChar">
    <w:name w:val="Balloon Text Char"/>
    <w:basedOn w:val="DefaultParagraphFont"/>
    <w:link w:val="BalloonText"/>
    <w:rsid w:val="00AC30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20757">
      <w:bodyDiv w:val="1"/>
      <w:marLeft w:val="0"/>
      <w:marRight w:val="0"/>
      <w:marTop w:val="0"/>
      <w:marBottom w:val="0"/>
      <w:divBdr>
        <w:top w:val="none" w:sz="0" w:space="0" w:color="auto"/>
        <w:left w:val="none" w:sz="0" w:space="0" w:color="auto"/>
        <w:bottom w:val="none" w:sz="0" w:space="0" w:color="auto"/>
        <w:right w:val="none" w:sz="0" w:space="0" w:color="auto"/>
      </w:divBdr>
      <w:divsChild>
        <w:div w:id="356271278">
          <w:marLeft w:val="0"/>
          <w:marRight w:val="0"/>
          <w:marTop w:val="0"/>
          <w:marBottom w:val="0"/>
          <w:divBdr>
            <w:top w:val="none" w:sz="0" w:space="0" w:color="auto"/>
            <w:left w:val="none" w:sz="0" w:space="0" w:color="auto"/>
            <w:bottom w:val="none" w:sz="0" w:space="0" w:color="auto"/>
            <w:right w:val="none" w:sz="0" w:space="0" w:color="auto"/>
          </w:divBdr>
          <w:divsChild>
            <w:div w:id="714160599">
              <w:marLeft w:val="0"/>
              <w:marRight w:val="0"/>
              <w:marTop w:val="0"/>
              <w:marBottom w:val="0"/>
              <w:divBdr>
                <w:top w:val="none" w:sz="0" w:space="0" w:color="auto"/>
                <w:left w:val="none" w:sz="0" w:space="0" w:color="auto"/>
                <w:bottom w:val="none" w:sz="0" w:space="0" w:color="auto"/>
                <w:right w:val="none" w:sz="0" w:space="0" w:color="auto"/>
              </w:divBdr>
              <w:divsChild>
                <w:div w:id="1923371769">
                  <w:marLeft w:val="0"/>
                  <w:marRight w:val="0"/>
                  <w:marTop w:val="0"/>
                  <w:marBottom w:val="300"/>
                  <w:divBdr>
                    <w:top w:val="none" w:sz="0" w:space="0" w:color="auto"/>
                    <w:left w:val="none" w:sz="0" w:space="0" w:color="auto"/>
                    <w:bottom w:val="none" w:sz="0" w:space="0" w:color="auto"/>
                    <w:right w:val="none" w:sz="0" w:space="0" w:color="auto"/>
                  </w:divBdr>
                  <w:divsChild>
                    <w:div w:id="1244947779">
                      <w:marLeft w:val="0"/>
                      <w:marRight w:val="0"/>
                      <w:marTop w:val="150"/>
                      <w:marBottom w:val="0"/>
                      <w:divBdr>
                        <w:top w:val="none" w:sz="0" w:space="0" w:color="auto"/>
                        <w:left w:val="none" w:sz="0" w:space="0" w:color="auto"/>
                        <w:bottom w:val="none" w:sz="0" w:space="0" w:color="auto"/>
                        <w:right w:val="none" w:sz="0" w:space="0" w:color="auto"/>
                      </w:divBdr>
                      <w:divsChild>
                        <w:div w:id="609095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environmentcountryside/farmingandcountryside/common/commonsact2006/commons-section-25-electronic-registers/?skip=1&amp;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2018-02-12T00:00:00+00:00</Meeting_x0020_Date>
    <Assembly xmlns="a4e7e3ba-90a1-4b0a-844f-73b076486bd6">5</Assembly>
  </documentManagement>
</p:properties>
</file>

<file path=customXml/itemProps1.xml><?xml version="1.0" encoding="utf-8"?>
<ds:datastoreItem xmlns:ds="http://schemas.openxmlformats.org/officeDocument/2006/customXml" ds:itemID="{E0295048-9864-4F3F-A66B-5032D7C5AFE5}"/>
</file>

<file path=customXml/itemProps2.xml><?xml version="1.0" encoding="utf-8"?>
<ds:datastoreItem xmlns:ds="http://schemas.openxmlformats.org/officeDocument/2006/customXml" ds:itemID="{30C032EA-04CF-4712-9993-6154EEF36395}"/>
</file>

<file path=customXml/itemProps3.xml><?xml version="1.0" encoding="utf-8"?>
<ds:datastoreItem xmlns:ds="http://schemas.openxmlformats.org/officeDocument/2006/customXml" ds:itemID="{876863D3-1AD1-4673-B2BC-B0D8E560ADA5}"/>
</file>

<file path=docProps/app.xml><?xml version="1.0" encoding="utf-8"?>
<Properties xmlns="http://schemas.openxmlformats.org/officeDocument/2006/extended-properties" xmlns:vt="http://schemas.openxmlformats.org/officeDocument/2006/docPropsVTypes">
  <Template>EADFA9A5.dotm</Template>
  <TotalTime>1</TotalTime>
  <Pages>2</Pages>
  <Words>407</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Register of Common Land for Wales</dc:title>
  <dc:creator>burnsc</dc:creator>
  <cp:lastModifiedBy>Oxenham, James (OFMCO - Cabinet Division)</cp:lastModifiedBy>
  <cp:revision>3</cp:revision>
  <cp:lastPrinted>2011-05-27T10:19:00Z</cp:lastPrinted>
  <dcterms:created xsi:type="dcterms:W3CDTF">2018-01-26T09:42:00Z</dcterms:created>
  <dcterms:modified xsi:type="dcterms:W3CDTF">2018-01-26T09:43:00Z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A20975471</vt:lpwstr>
  </property>
  <property fmtid="{D5CDD505-2E9C-101B-9397-08002B2CF9AE}" pid="4" name="Objective-Title">
    <vt:lpwstr>ASDD - Electronic Registers for Common Land - Written Statement - English -  FINAL Version</vt:lpwstr>
  </property>
  <property fmtid="{D5CDD505-2E9C-101B-9397-08002B2CF9AE}" pid="5" name="Objective-Comment">
    <vt:lpwstr/>
  </property>
  <property fmtid="{D5CDD505-2E9C-101B-9397-08002B2CF9AE}" pid="6" name="Objective-CreationStamp">
    <vt:filetime>2018-01-22T09:23:21Z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2018-01-22T09:23:35Z</vt:filetime>
  </property>
  <property fmtid="{D5CDD505-2E9C-101B-9397-08002B2CF9AE}" pid="10" name="Objective-ModificationStamp">
    <vt:filetime>2018-01-22T09:23:35Z</vt:filetime>
  </property>
  <property fmtid="{D5CDD505-2E9C-101B-9397-08002B2CF9AE}" pid="11" name="Objective-Owner">
    <vt:lpwstr>Harris, Carol (ESNR-ASDD)</vt:lpwstr>
  </property>
  <property fmtid="{D5CDD505-2E9C-101B-9397-08002B2CF9AE}" pid="12" name="Objective-Path">
    <vt:lpwstr>Objective Global Folder:Business File Plan:Economy, Skills &amp; Natural Resources (ESNR):Economy, Skills &amp; Natural Resources (ESNR) - ERAA - Agriculture Sustainability &amp; Development:1 - Save:Animal Policy Delivery (APD):Common Land:Commons Act 2006:Common La</vt:lpwstr>
  </property>
  <property fmtid="{D5CDD505-2E9C-101B-9397-08002B2CF9AE}" pid="13" name="Objective-Parent">
    <vt:lpwstr>ASDD - Electronic Registers For Common Land - Advice and Briefing - 2017-18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2018-01-22T00:00:00Z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