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6025" w14:textId="77777777" w:rsidR="001A39E2" w:rsidRDefault="001A39E2" w:rsidP="001A39E2">
      <w:pPr>
        <w:jc w:val="right"/>
        <w:rPr>
          <w:b/>
        </w:rPr>
      </w:pPr>
    </w:p>
    <w:p w14:paraId="4869526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0FB107" wp14:editId="72072E0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BD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B8AB6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7C7D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9DEA9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E19100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87EF175" wp14:editId="5901E0A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79E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00B008" w14:textId="77777777" w:rsidTr="00B049B1">
        <w:tc>
          <w:tcPr>
            <w:tcW w:w="1383" w:type="dxa"/>
            <w:tcBorders>
              <w:top w:val="nil"/>
              <w:left w:val="nil"/>
              <w:bottom w:val="nil"/>
              <w:right w:val="nil"/>
            </w:tcBorders>
            <w:vAlign w:val="center"/>
          </w:tcPr>
          <w:p w14:paraId="1289B54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FCA74F" w14:textId="77777777" w:rsidR="00FB769F" w:rsidRDefault="00FB769F" w:rsidP="0057543A">
            <w:pPr>
              <w:spacing w:before="120" w:after="120"/>
              <w:rPr>
                <w:rFonts w:ascii="Arial" w:hAnsi="Arial" w:cs="Arial"/>
                <w:b/>
                <w:sz w:val="24"/>
                <w:szCs w:val="24"/>
              </w:rPr>
            </w:pPr>
          </w:p>
          <w:p w14:paraId="42AB49DB" w14:textId="77777777" w:rsidR="00C44753" w:rsidRPr="003A6DDF" w:rsidRDefault="00C44753" w:rsidP="00DF2963">
            <w:pPr>
              <w:rPr>
                <w:rFonts w:ascii="Arial" w:hAnsi="Arial" w:cs="Arial"/>
                <w:b/>
                <w:sz w:val="24"/>
                <w:szCs w:val="24"/>
                <w:u w:val="single"/>
              </w:rPr>
            </w:pPr>
            <w:bookmarkStart w:id="0" w:name="_GoBack"/>
            <w:r w:rsidRPr="00E02D0C">
              <w:rPr>
                <w:rFonts w:ascii="Arial" w:hAnsi="Arial" w:cs="Arial"/>
                <w:b/>
                <w:sz w:val="24"/>
                <w:szCs w:val="24"/>
              </w:rPr>
              <w:t>The Agricultural Products, Food and Drink (Amendment) (EU Exit) Regulations 2020</w:t>
            </w:r>
            <w:r w:rsidRPr="00BB188C" w:rsidDel="00BB188C">
              <w:rPr>
                <w:rFonts w:ascii="Arial" w:hAnsi="Arial" w:cs="Arial"/>
                <w:b/>
                <w:bCs/>
                <w:sz w:val="24"/>
                <w:szCs w:val="24"/>
              </w:rPr>
              <w:t xml:space="preserve"> </w:t>
            </w:r>
          </w:p>
          <w:bookmarkEnd w:id="0"/>
          <w:p w14:paraId="403D2D53" w14:textId="77777777" w:rsidR="00EA5290" w:rsidRPr="00670227" w:rsidRDefault="00EA5290" w:rsidP="0057543A">
            <w:pPr>
              <w:spacing w:before="120" w:after="120"/>
              <w:rPr>
                <w:rFonts w:ascii="Arial" w:hAnsi="Arial" w:cs="Arial"/>
                <w:b/>
                <w:bCs/>
                <w:sz w:val="24"/>
                <w:szCs w:val="24"/>
              </w:rPr>
            </w:pPr>
          </w:p>
        </w:tc>
      </w:tr>
      <w:tr w:rsidR="00EA5290" w:rsidRPr="00A011A1" w14:paraId="70BF5DD7" w14:textId="77777777" w:rsidTr="00B049B1">
        <w:tc>
          <w:tcPr>
            <w:tcW w:w="1383" w:type="dxa"/>
            <w:tcBorders>
              <w:top w:val="nil"/>
              <w:left w:val="nil"/>
              <w:bottom w:val="nil"/>
              <w:right w:val="nil"/>
            </w:tcBorders>
            <w:vAlign w:val="center"/>
          </w:tcPr>
          <w:p w14:paraId="636DE57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080548" w14:textId="77777777" w:rsidR="00EA5290" w:rsidRPr="00670227" w:rsidRDefault="00C44753" w:rsidP="00062672">
            <w:pPr>
              <w:spacing w:before="120" w:after="120"/>
              <w:rPr>
                <w:rFonts w:ascii="Arial" w:hAnsi="Arial" w:cs="Arial"/>
                <w:b/>
                <w:bCs/>
                <w:sz w:val="24"/>
                <w:szCs w:val="24"/>
              </w:rPr>
            </w:pPr>
            <w:r>
              <w:rPr>
                <w:rFonts w:ascii="Arial" w:hAnsi="Arial" w:cs="Arial"/>
                <w:b/>
                <w:bCs/>
                <w:sz w:val="24"/>
                <w:szCs w:val="24"/>
              </w:rPr>
              <w:t>12 March 2021</w:t>
            </w:r>
          </w:p>
        </w:tc>
      </w:tr>
      <w:tr w:rsidR="00EA5290" w:rsidRPr="00A011A1" w14:paraId="0464CDE0" w14:textId="77777777" w:rsidTr="00B049B1">
        <w:tc>
          <w:tcPr>
            <w:tcW w:w="1383" w:type="dxa"/>
            <w:tcBorders>
              <w:top w:val="nil"/>
              <w:left w:val="nil"/>
              <w:bottom w:val="nil"/>
              <w:right w:val="nil"/>
            </w:tcBorders>
            <w:vAlign w:val="center"/>
          </w:tcPr>
          <w:p w14:paraId="787FF4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CADBF2"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2A3AC0A0" w14:textId="77777777" w:rsidR="00EA5290" w:rsidRPr="00A011A1" w:rsidRDefault="00EA5290" w:rsidP="00EA5290"/>
    <w:p w14:paraId="2AFC8115" w14:textId="77777777" w:rsidR="00C44753" w:rsidRDefault="00C44753" w:rsidP="00C44753">
      <w:pPr>
        <w:rPr>
          <w:rFonts w:ascii="Arial" w:hAnsi="Arial" w:cs="Arial"/>
          <w:b/>
          <w:sz w:val="24"/>
          <w:szCs w:val="24"/>
        </w:rPr>
      </w:pPr>
      <w:r>
        <w:rPr>
          <w:rFonts w:ascii="Arial" w:hAnsi="Arial" w:cs="Arial"/>
          <w:b/>
          <w:sz w:val="24"/>
          <w:szCs w:val="24"/>
        </w:rPr>
        <w:t>SI laid in Parliament, which amends secondary legislation in a devolved area</w:t>
      </w:r>
    </w:p>
    <w:p w14:paraId="33F0DCFE" w14:textId="77777777" w:rsidR="00C44753" w:rsidRDefault="00C44753" w:rsidP="00C44753">
      <w:pPr>
        <w:rPr>
          <w:rFonts w:ascii="Arial" w:hAnsi="Arial" w:cs="Arial"/>
          <w:b/>
          <w:u w:val="single"/>
        </w:rPr>
      </w:pPr>
    </w:p>
    <w:p w14:paraId="3A5AD85C" w14:textId="77777777" w:rsidR="00C44753" w:rsidRPr="003A6DDF" w:rsidRDefault="00C44753" w:rsidP="00C44753">
      <w:pPr>
        <w:rPr>
          <w:rFonts w:ascii="Arial" w:hAnsi="Arial" w:cs="Arial"/>
          <w:b/>
          <w:sz w:val="24"/>
          <w:szCs w:val="24"/>
          <w:u w:val="single"/>
        </w:rPr>
      </w:pPr>
      <w:r w:rsidRPr="00E02D0C">
        <w:rPr>
          <w:rFonts w:ascii="Arial" w:hAnsi="Arial" w:cs="Arial"/>
          <w:b/>
          <w:sz w:val="24"/>
          <w:szCs w:val="24"/>
        </w:rPr>
        <w:t>The Agricultural Products, Food and Drink (Amendment) (EU Exit) Regulations 2020</w:t>
      </w:r>
      <w:r w:rsidRPr="00BB188C" w:rsidDel="00BB188C">
        <w:rPr>
          <w:rFonts w:ascii="Arial" w:hAnsi="Arial" w:cs="Arial"/>
          <w:b/>
          <w:bCs/>
          <w:sz w:val="24"/>
          <w:szCs w:val="24"/>
        </w:rPr>
        <w:t xml:space="preserve"> </w:t>
      </w:r>
    </w:p>
    <w:p w14:paraId="4A2B2454" w14:textId="77777777" w:rsidR="00C44753" w:rsidRDefault="00C44753" w:rsidP="00C44753">
      <w:pPr>
        <w:jc w:val="both"/>
        <w:rPr>
          <w:rFonts w:ascii="Arial" w:hAnsi="Arial" w:cs="Arial"/>
          <w:b/>
          <w:u w:val="single"/>
        </w:rPr>
      </w:pPr>
    </w:p>
    <w:p w14:paraId="741D7B5C" w14:textId="77777777" w:rsidR="00C44753" w:rsidRPr="00D72949" w:rsidRDefault="00C44753" w:rsidP="00C44753">
      <w:pPr>
        <w:jc w:val="both"/>
        <w:rPr>
          <w:rFonts w:ascii="Arial" w:hAnsi="Arial" w:cs="Arial"/>
          <w:b/>
          <w:sz w:val="24"/>
          <w:u w:val="single"/>
        </w:rPr>
      </w:pPr>
      <w:r w:rsidRPr="00D72949">
        <w:rPr>
          <w:rFonts w:ascii="Arial" w:hAnsi="Arial" w:cs="Arial"/>
          <w:b/>
          <w:sz w:val="24"/>
          <w:u w:val="single"/>
        </w:rPr>
        <w:t>The law which is being amended</w:t>
      </w:r>
    </w:p>
    <w:p w14:paraId="2A127840" w14:textId="77777777" w:rsidR="00C44753" w:rsidRPr="00812D64" w:rsidRDefault="00C44753" w:rsidP="00C44753">
      <w:pPr>
        <w:tabs>
          <w:tab w:val="left" w:pos="709"/>
        </w:tabs>
        <w:jc w:val="both"/>
        <w:rPr>
          <w:rFonts w:ascii="Arial" w:hAnsi="Arial" w:cs="Arial"/>
          <w:u w:val="single"/>
        </w:rPr>
      </w:pPr>
    </w:p>
    <w:p w14:paraId="219C0498" w14:textId="77777777" w:rsidR="00C44753" w:rsidRPr="00D4596B" w:rsidRDefault="00C44753" w:rsidP="00C44753">
      <w:pPr>
        <w:pStyle w:val="EMLevel1Paragraph"/>
        <w:numPr>
          <w:ilvl w:val="0"/>
          <w:numId w:val="0"/>
        </w:numPr>
        <w:tabs>
          <w:tab w:val="left" w:pos="720"/>
        </w:tabs>
        <w:spacing w:before="0" w:after="0"/>
        <w:jc w:val="both"/>
        <w:rPr>
          <w:rFonts w:ascii="Arial" w:hAnsi="Arial"/>
          <w:szCs w:val="24"/>
          <w:u w:val="single"/>
        </w:rPr>
      </w:pPr>
      <w:r>
        <w:rPr>
          <w:rFonts w:ascii="Arial" w:hAnsi="Arial"/>
          <w:szCs w:val="24"/>
          <w:u w:val="single"/>
        </w:rPr>
        <w:t>Domestic Legislation</w:t>
      </w:r>
      <w:bookmarkStart w:id="1" w:name="TOCentryTOC11_01_2019_12_05_37_25"/>
      <w:bookmarkEnd w:id="1"/>
    </w:p>
    <w:p w14:paraId="796910C9" w14:textId="77777777" w:rsidR="00C44753" w:rsidRDefault="00C44753" w:rsidP="00C44753">
      <w:pPr>
        <w:pStyle w:val="EMLevel1Paragraph"/>
        <w:numPr>
          <w:ilvl w:val="0"/>
          <w:numId w:val="0"/>
        </w:numPr>
        <w:tabs>
          <w:tab w:val="left" w:pos="720"/>
        </w:tabs>
        <w:spacing w:before="0" w:after="0"/>
        <w:jc w:val="both"/>
        <w:rPr>
          <w:rFonts w:ascii="Arial" w:hAnsi="Arial"/>
          <w:szCs w:val="24"/>
        </w:rPr>
      </w:pPr>
    </w:p>
    <w:p w14:paraId="4EB5D97E" w14:textId="77777777" w:rsidR="00C44753" w:rsidRDefault="00C44753" w:rsidP="00C44753">
      <w:pPr>
        <w:pStyle w:val="H1"/>
        <w:numPr>
          <w:ilvl w:val="0"/>
          <w:numId w:val="7"/>
        </w:numPr>
        <w:spacing w:before="0" w:line="240" w:lineRule="auto"/>
        <w:ind w:left="714" w:hanging="357"/>
        <w:rPr>
          <w:rFonts w:ascii="Arial" w:hAnsi="Arial" w:cs="Arial"/>
          <w:b w:val="0"/>
          <w:sz w:val="24"/>
          <w:szCs w:val="24"/>
        </w:rPr>
      </w:pPr>
      <w:r>
        <w:rPr>
          <w:rFonts w:ascii="Arial" w:hAnsi="Arial" w:cs="Arial"/>
          <w:b w:val="0"/>
          <w:sz w:val="24"/>
          <w:szCs w:val="24"/>
        </w:rPr>
        <w:lastRenderedPageBreak/>
        <w:t>T</w:t>
      </w:r>
      <w:r w:rsidRPr="00480AF1">
        <w:rPr>
          <w:rFonts w:ascii="Arial" w:hAnsi="Arial" w:cs="Arial"/>
          <w:b w:val="0"/>
          <w:sz w:val="24"/>
          <w:szCs w:val="24"/>
        </w:rPr>
        <w:t>he Spirit Drinks Regulations 2008</w:t>
      </w:r>
    </w:p>
    <w:p w14:paraId="316594F6" w14:textId="77777777" w:rsidR="00C44753" w:rsidRPr="00480AF1" w:rsidRDefault="00C44753" w:rsidP="00C44753">
      <w:pPr>
        <w:pStyle w:val="H1"/>
        <w:numPr>
          <w:ilvl w:val="0"/>
          <w:numId w:val="7"/>
        </w:numPr>
        <w:spacing w:before="0" w:line="240" w:lineRule="auto"/>
        <w:ind w:left="714" w:hanging="357"/>
        <w:rPr>
          <w:rFonts w:ascii="Arial" w:hAnsi="Arial" w:cs="Arial"/>
          <w:b w:val="0"/>
          <w:sz w:val="24"/>
          <w:szCs w:val="24"/>
        </w:rPr>
      </w:pPr>
      <w:r>
        <w:rPr>
          <w:rFonts w:ascii="Arial" w:hAnsi="Arial" w:cs="Arial"/>
          <w:b w:val="0"/>
          <w:sz w:val="24"/>
          <w:szCs w:val="24"/>
        </w:rPr>
        <w:t>T</w:t>
      </w:r>
      <w:r w:rsidRPr="00480AF1">
        <w:rPr>
          <w:rFonts w:ascii="Arial" w:hAnsi="Arial" w:cs="Arial"/>
          <w:b w:val="0"/>
          <w:sz w:val="24"/>
          <w:szCs w:val="24"/>
        </w:rPr>
        <w:t>he Trade Marks (Amendment etc.) (EU Exit) Regulations 2019</w:t>
      </w:r>
    </w:p>
    <w:p w14:paraId="21106135" w14:textId="77777777" w:rsidR="00C44753" w:rsidRPr="00480AF1" w:rsidRDefault="00C44753" w:rsidP="00C44753">
      <w:pPr>
        <w:pStyle w:val="H1"/>
        <w:numPr>
          <w:ilvl w:val="0"/>
          <w:numId w:val="7"/>
        </w:numPr>
        <w:spacing w:before="0" w:line="240" w:lineRule="auto"/>
        <w:ind w:left="714" w:hanging="357"/>
        <w:rPr>
          <w:rFonts w:ascii="Arial" w:hAnsi="Arial" w:cs="Arial"/>
          <w:b w:val="0"/>
          <w:sz w:val="24"/>
          <w:szCs w:val="24"/>
        </w:rPr>
      </w:pPr>
      <w:r>
        <w:rPr>
          <w:rFonts w:ascii="Arial" w:hAnsi="Arial" w:cs="Arial"/>
          <w:b w:val="0"/>
          <w:sz w:val="24"/>
          <w:szCs w:val="24"/>
        </w:rPr>
        <w:t>T</w:t>
      </w:r>
      <w:r w:rsidRPr="00480AF1">
        <w:rPr>
          <w:rFonts w:ascii="Arial" w:hAnsi="Arial" w:cs="Arial"/>
          <w:b w:val="0"/>
          <w:sz w:val="24"/>
          <w:szCs w:val="24"/>
        </w:rPr>
        <w:t>he Organic Production (Control of Imports) (Amendm</w:t>
      </w:r>
      <w:r>
        <w:rPr>
          <w:rFonts w:ascii="Arial" w:hAnsi="Arial" w:cs="Arial"/>
          <w:b w:val="0"/>
          <w:sz w:val="24"/>
          <w:szCs w:val="24"/>
        </w:rPr>
        <w:t>ent) (EU Exit) Regulations 2019</w:t>
      </w:r>
    </w:p>
    <w:p w14:paraId="0C6DFECE" w14:textId="77777777" w:rsidR="00C44753" w:rsidRPr="00480AF1" w:rsidRDefault="00C44753" w:rsidP="00C44753">
      <w:pPr>
        <w:pStyle w:val="H1"/>
        <w:numPr>
          <w:ilvl w:val="0"/>
          <w:numId w:val="7"/>
        </w:numPr>
        <w:spacing w:before="0" w:line="240" w:lineRule="auto"/>
        <w:ind w:left="714" w:hanging="357"/>
        <w:rPr>
          <w:rFonts w:ascii="Arial" w:hAnsi="Arial" w:cs="Arial"/>
          <w:b w:val="0"/>
          <w:sz w:val="24"/>
          <w:szCs w:val="24"/>
        </w:rPr>
      </w:pPr>
      <w:r>
        <w:rPr>
          <w:rFonts w:ascii="Arial" w:hAnsi="Arial" w:cs="Arial"/>
          <w:b w:val="0"/>
          <w:sz w:val="24"/>
          <w:szCs w:val="24"/>
        </w:rPr>
        <w:t>T</w:t>
      </w:r>
      <w:r w:rsidRPr="00480AF1">
        <w:rPr>
          <w:rFonts w:ascii="Arial" w:hAnsi="Arial" w:cs="Arial"/>
          <w:b w:val="0"/>
          <w:sz w:val="24"/>
          <w:szCs w:val="24"/>
        </w:rPr>
        <w:t>he Food and Farming (Amendment) (EU Exit) Regulations 2019</w:t>
      </w:r>
      <w:r>
        <w:rPr>
          <w:rFonts w:ascii="Arial" w:hAnsi="Arial" w:cs="Arial"/>
          <w:b w:val="0"/>
          <w:sz w:val="24"/>
          <w:szCs w:val="24"/>
        </w:rPr>
        <w:t xml:space="preserve"> </w:t>
      </w:r>
    </w:p>
    <w:p w14:paraId="72D4E26D" w14:textId="77777777" w:rsidR="00C44753" w:rsidRDefault="00C44753" w:rsidP="00C44753">
      <w:pPr>
        <w:pStyle w:val="H1"/>
        <w:numPr>
          <w:ilvl w:val="0"/>
          <w:numId w:val="7"/>
        </w:numPr>
        <w:spacing w:before="0" w:line="240" w:lineRule="auto"/>
        <w:rPr>
          <w:rFonts w:ascii="Arial" w:hAnsi="Arial" w:cs="Arial"/>
          <w:b w:val="0"/>
          <w:sz w:val="24"/>
          <w:szCs w:val="24"/>
        </w:rPr>
      </w:pPr>
      <w:r w:rsidRPr="00A64DE3">
        <w:rPr>
          <w:rFonts w:ascii="Arial" w:hAnsi="Arial" w:cs="Arial"/>
          <w:b w:val="0"/>
          <w:sz w:val="24"/>
          <w:szCs w:val="24"/>
        </w:rPr>
        <w:t>The Agriculture (Legislative Functions) (EU Exit) (No. 2) Regulations 2019</w:t>
      </w:r>
    </w:p>
    <w:p w14:paraId="6BFF5546" w14:textId="77777777" w:rsidR="00C44753" w:rsidRPr="00D06655" w:rsidRDefault="00C44753" w:rsidP="00C44753">
      <w:pPr>
        <w:pStyle w:val="H1"/>
        <w:numPr>
          <w:ilvl w:val="0"/>
          <w:numId w:val="7"/>
        </w:numPr>
        <w:spacing w:before="0" w:line="240" w:lineRule="auto"/>
        <w:ind w:left="714" w:hanging="357"/>
        <w:rPr>
          <w:rFonts w:ascii="Arial" w:hAnsi="Arial" w:cs="Arial"/>
          <w:b w:val="0"/>
          <w:sz w:val="24"/>
          <w:szCs w:val="24"/>
        </w:rPr>
      </w:pPr>
      <w:r>
        <w:rPr>
          <w:rFonts w:ascii="Arial" w:hAnsi="Arial" w:cs="Arial"/>
          <w:b w:val="0"/>
          <w:sz w:val="24"/>
          <w:szCs w:val="24"/>
        </w:rPr>
        <w:t>T</w:t>
      </w:r>
      <w:r w:rsidRPr="00D06655">
        <w:rPr>
          <w:rFonts w:ascii="Arial" w:hAnsi="Arial" w:cs="Arial"/>
          <w:b w:val="0"/>
          <w:sz w:val="24"/>
          <w:szCs w:val="24"/>
        </w:rPr>
        <w:t>he Agricultural Products, Food and Drink (Amendment etc.) (EU Exit) Regulations 2020</w:t>
      </w:r>
    </w:p>
    <w:p w14:paraId="3D774B00" w14:textId="77777777" w:rsidR="00C44753" w:rsidRDefault="00C44753" w:rsidP="00C44753">
      <w:pPr>
        <w:autoSpaceDE w:val="0"/>
        <w:autoSpaceDN w:val="0"/>
        <w:adjustRightInd w:val="0"/>
        <w:jc w:val="both"/>
        <w:rPr>
          <w:rFonts w:ascii="Arial" w:hAnsi="Arial" w:cs="Arial"/>
          <w:color w:val="000000"/>
          <w:sz w:val="24"/>
          <w:szCs w:val="24"/>
          <w:u w:val="single"/>
        </w:rPr>
      </w:pPr>
      <w:bookmarkStart w:id="2" w:name="TOCentryTOC11_01_2019_12_05_37_56"/>
      <w:bookmarkEnd w:id="2"/>
    </w:p>
    <w:p w14:paraId="2485207C" w14:textId="77777777" w:rsidR="00C44753" w:rsidRDefault="00C44753" w:rsidP="00C44753">
      <w:pPr>
        <w:autoSpaceDE w:val="0"/>
        <w:autoSpaceDN w:val="0"/>
        <w:adjustRightInd w:val="0"/>
        <w:jc w:val="both"/>
        <w:rPr>
          <w:rFonts w:ascii="Arial" w:hAnsi="Arial" w:cs="Arial"/>
          <w:color w:val="000000"/>
          <w:sz w:val="24"/>
          <w:szCs w:val="24"/>
          <w:u w:val="single"/>
        </w:rPr>
      </w:pPr>
      <w:r>
        <w:rPr>
          <w:rFonts w:ascii="Arial" w:hAnsi="Arial" w:cs="Arial"/>
          <w:color w:val="000000"/>
          <w:sz w:val="24"/>
          <w:szCs w:val="24"/>
          <w:u w:val="single"/>
        </w:rPr>
        <w:t xml:space="preserve">Retained Direct </w:t>
      </w:r>
      <w:r w:rsidRPr="006D5052">
        <w:rPr>
          <w:rFonts w:ascii="Arial" w:hAnsi="Arial" w:cs="Arial"/>
          <w:color w:val="000000"/>
          <w:sz w:val="24"/>
          <w:szCs w:val="24"/>
          <w:u w:val="single"/>
        </w:rPr>
        <w:t xml:space="preserve">EU Legislation </w:t>
      </w:r>
    </w:p>
    <w:p w14:paraId="223BF497" w14:textId="77777777" w:rsidR="00C44753" w:rsidRPr="006D5052" w:rsidRDefault="00C44753" w:rsidP="00C44753">
      <w:pPr>
        <w:autoSpaceDE w:val="0"/>
        <w:autoSpaceDN w:val="0"/>
        <w:adjustRightInd w:val="0"/>
        <w:jc w:val="both"/>
        <w:rPr>
          <w:rFonts w:ascii="Arial" w:hAnsi="Arial" w:cs="Arial"/>
          <w:color w:val="000000"/>
          <w:sz w:val="24"/>
          <w:szCs w:val="24"/>
          <w:u w:val="single"/>
        </w:rPr>
      </w:pPr>
    </w:p>
    <w:p w14:paraId="7122F987" w14:textId="77777777" w:rsidR="00C44753" w:rsidRDefault="00C44753" w:rsidP="00C44753">
      <w:pPr>
        <w:pStyle w:val="H1"/>
        <w:numPr>
          <w:ilvl w:val="0"/>
          <w:numId w:val="8"/>
        </w:numPr>
        <w:spacing w:before="0" w:line="240" w:lineRule="auto"/>
        <w:rPr>
          <w:rFonts w:ascii="Arial" w:hAnsi="Arial" w:cs="Arial"/>
          <w:b w:val="0"/>
          <w:sz w:val="24"/>
          <w:szCs w:val="24"/>
          <w:shd w:val="clear" w:color="auto" w:fill="FFFFFF"/>
        </w:rPr>
      </w:pPr>
      <w:bookmarkStart w:id="3" w:name="TOCentryTOC11_01_2019_12_05_37_57"/>
      <w:bookmarkEnd w:id="3"/>
      <w:r w:rsidRPr="00A473B7">
        <w:rPr>
          <w:rFonts w:ascii="Arial" w:hAnsi="Arial" w:cs="Arial"/>
          <w:b w:val="0"/>
          <w:sz w:val="24"/>
          <w:szCs w:val="24"/>
        </w:rPr>
        <w:t xml:space="preserve">Commission Regulation (EC) No 1416/2006 </w:t>
      </w:r>
      <w:r w:rsidRPr="00A473B7">
        <w:rPr>
          <w:rFonts w:ascii="Arial" w:hAnsi="Arial" w:cs="Arial"/>
          <w:b w:val="0"/>
          <w:sz w:val="24"/>
          <w:szCs w:val="24"/>
          <w:shd w:val="clear" w:color="auto" w:fill="FFFFFF"/>
        </w:rPr>
        <w:t>laying down specific rules on the implementation of Article 7(2) of the Agreement between the European Community and the United States of America on trade in wine concerning the protection of US names of origin in the Community</w:t>
      </w:r>
    </w:p>
    <w:p w14:paraId="65CBA47B" w14:textId="77777777" w:rsidR="00C44753" w:rsidRPr="006073AA" w:rsidRDefault="00C44753" w:rsidP="00C44753"/>
    <w:p w14:paraId="5071E703" w14:textId="77777777" w:rsidR="00C44753" w:rsidRDefault="00C44753" w:rsidP="00C44753">
      <w:pPr>
        <w:pStyle w:val="H1"/>
        <w:numPr>
          <w:ilvl w:val="0"/>
          <w:numId w:val="8"/>
        </w:numPr>
        <w:spacing w:before="0" w:line="240" w:lineRule="auto"/>
        <w:rPr>
          <w:rFonts w:ascii="Arial" w:hAnsi="Arial" w:cs="Arial"/>
          <w:b w:val="0"/>
          <w:sz w:val="24"/>
          <w:szCs w:val="24"/>
        </w:rPr>
      </w:pPr>
      <w:r w:rsidRPr="00A473B7">
        <w:rPr>
          <w:rFonts w:ascii="Arial" w:hAnsi="Arial" w:cs="Arial"/>
          <w:b w:val="0"/>
          <w:sz w:val="24"/>
          <w:szCs w:val="24"/>
        </w:rPr>
        <w:t>Commission Regulation (EC) No 936/2009 applying the agreements between the European Union and third countries on the mutual recognition of certain spirit drinks</w:t>
      </w:r>
    </w:p>
    <w:p w14:paraId="3CB8403F" w14:textId="77777777" w:rsidR="00C44753" w:rsidRPr="006073AA" w:rsidRDefault="00C44753" w:rsidP="00C44753"/>
    <w:p w14:paraId="038588C8" w14:textId="77777777" w:rsidR="00C44753" w:rsidRDefault="00C44753" w:rsidP="00C44753">
      <w:pPr>
        <w:pStyle w:val="H1"/>
        <w:numPr>
          <w:ilvl w:val="0"/>
          <w:numId w:val="8"/>
        </w:numPr>
        <w:spacing w:before="0" w:line="240" w:lineRule="auto"/>
        <w:rPr>
          <w:rFonts w:ascii="Arial" w:hAnsi="Arial" w:cs="Arial"/>
          <w:b w:val="0"/>
          <w:sz w:val="24"/>
          <w:szCs w:val="24"/>
        </w:rPr>
      </w:pPr>
      <w:r w:rsidRPr="00A473B7">
        <w:rPr>
          <w:rFonts w:ascii="Arial" w:hAnsi="Arial" w:cs="Arial"/>
          <w:b w:val="0"/>
          <w:sz w:val="24"/>
          <w:szCs w:val="24"/>
        </w:rPr>
        <w:t>Regulation (EU) No 1151/2012 of the European Parliament and of the Council on quality schemes for agricultural products and foodstuffs</w:t>
      </w:r>
    </w:p>
    <w:p w14:paraId="34DD169B" w14:textId="77777777" w:rsidR="00C44753" w:rsidRPr="006073AA" w:rsidRDefault="00C44753" w:rsidP="00C44753"/>
    <w:p w14:paraId="20B909C2" w14:textId="77777777" w:rsidR="00C44753" w:rsidRDefault="00C44753" w:rsidP="00C44753">
      <w:pPr>
        <w:pStyle w:val="H1"/>
        <w:numPr>
          <w:ilvl w:val="0"/>
          <w:numId w:val="8"/>
        </w:numPr>
        <w:spacing w:before="0" w:line="240" w:lineRule="auto"/>
        <w:rPr>
          <w:rFonts w:ascii="Arial" w:hAnsi="Arial" w:cs="Arial"/>
          <w:b w:val="0"/>
          <w:sz w:val="24"/>
          <w:szCs w:val="24"/>
        </w:rPr>
      </w:pPr>
      <w:r w:rsidRPr="00A473B7">
        <w:rPr>
          <w:rFonts w:ascii="Arial" w:hAnsi="Arial" w:cs="Arial"/>
          <w:b w:val="0"/>
          <w:sz w:val="24"/>
          <w:szCs w:val="24"/>
        </w:rPr>
        <w:lastRenderedPageBreak/>
        <w:t>Commission Implementing Regulation No 716/2013 laying down rules for the application of Regulation (EC) 110/2008 of the European Parliament and of the Council on the definition, description, presentation, labelling and the protection of geographical indications of spirit drinks</w:t>
      </w:r>
    </w:p>
    <w:p w14:paraId="75B81BF5" w14:textId="77777777" w:rsidR="00C44753" w:rsidRPr="006073AA" w:rsidRDefault="00C44753" w:rsidP="00C44753"/>
    <w:p w14:paraId="331586F5" w14:textId="77777777" w:rsidR="00C44753" w:rsidRDefault="00C44753" w:rsidP="00C44753">
      <w:pPr>
        <w:pStyle w:val="H1"/>
        <w:numPr>
          <w:ilvl w:val="0"/>
          <w:numId w:val="8"/>
        </w:numPr>
        <w:spacing w:before="0" w:line="240" w:lineRule="auto"/>
        <w:rPr>
          <w:rFonts w:ascii="Arial" w:hAnsi="Arial" w:cs="Arial"/>
          <w:b w:val="0"/>
          <w:sz w:val="24"/>
          <w:szCs w:val="24"/>
        </w:rPr>
      </w:pPr>
      <w:r w:rsidRPr="00B52A64">
        <w:rPr>
          <w:rFonts w:ascii="Arial" w:hAnsi="Arial" w:cs="Arial"/>
          <w:b w:val="0"/>
          <w:sz w:val="24"/>
          <w:szCs w:val="24"/>
        </w:rPr>
        <w:t>Regulation (EU) No 1308/2013 of the European Parliament and of the Council establishing a common organisation of the markets in agricultural products</w:t>
      </w:r>
    </w:p>
    <w:p w14:paraId="5BE72FB5" w14:textId="77777777" w:rsidR="00C44753" w:rsidRPr="006073AA" w:rsidRDefault="00C44753" w:rsidP="00C44753"/>
    <w:p w14:paraId="4F1E1044" w14:textId="77777777" w:rsidR="00C44753" w:rsidRDefault="00C44753" w:rsidP="00C44753">
      <w:pPr>
        <w:pStyle w:val="H1"/>
        <w:numPr>
          <w:ilvl w:val="0"/>
          <w:numId w:val="8"/>
        </w:numPr>
        <w:spacing w:before="0" w:line="240" w:lineRule="auto"/>
        <w:rPr>
          <w:rFonts w:ascii="Arial" w:hAnsi="Arial" w:cs="Arial"/>
          <w:b w:val="0"/>
          <w:sz w:val="24"/>
          <w:szCs w:val="24"/>
        </w:rPr>
      </w:pPr>
      <w:r w:rsidRPr="00B52A64">
        <w:rPr>
          <w:rFonts w:ascii="Arial" w:hAnsi="Arial" w:cs="Arial"/>
          <w:b w:val="0"/>
          <w:sz w:val="24"/>
          <w:szCs w:val="24"/>
        </w:rPr>
        <w:t>Regulation (EU) No 251/2014 of the European Parliament and of the Council on the definition, description, presentation, labelling and the protection of geographical indications of aromatised wine products</w:t>
      </w:r>
    </w:p>
    <w:p w14:paraId="4F62CE8E" w14:textId="77777777" w:rsidR="00C44753" w:rsidRPr="006073AA" w:rsidRDefault="00C44753" w:rsidP="00C44753"/>
    <w:p w14:paraId="1C9AECDD" w14:textId="77777777" w:rsidR="00C44753" w:rsidRDefault="00C44753" w:rsidP="00C44753">
      <w:pPr>
        <w:pStyle w:val="H1"/>
        <w:numPr>
          <w:ilvl w:val="0"/>
          <w:numId w:val="8"/>
        </w:numPr>
        <w:spacing w:before="0" w:line="240" w:lineRule="auto"/>
        <w:rPr>
          <w:rFonts w:ascii="Arial" w:hAnsi="Arial" w:cs="Arial"/>
          <w:b w:val="0"/>
          <w:sz w:val="24"/>
          <w:szCs w:val="24"/>
        </w:rPr>
      </w:pPr>
      <w:r w:rsidRPr="00B52A64">
        <w:rPr>
          <w:rFonts w:ascii="Arial" w:hAnsi="Arial" w:cs="Arial"/>
          <w:b w:val="0"/>
          <w:sz w:val="24"/>
          <w:szCs w:val="24"/>
        </w:rPr>
        <w:t>Commission Implementing Regulation 668/2014 laying down rules for the application of Regulation (EU) No 1151/2012 of the European Parliament and of the Council on quality schemes for agricultural products and foodstuffs</w:t>
      </w:r>
    </w:p>
    <w:p w14:paraId="7E7D9480" w14:textId="77777777" w:rsidR="00C44753" w:rsidRPr="006073AA" w:rsidRDefault="00C44753" w:rsidP="00C44753"/>
    <w:p w14:paraId="32B6F7E0" w14:textId="77777777" w:rsidR="00C44753" w:rsidRDefault="00C44753" w:rsidP="00C44753">
      <w:pPr>
        <w:pStyle w:val="H1"/>
        <w:numPr>
          <w:ilvl w:val="0"/>
          <w:numId w:val="8"/>
        </w:numPr>
        <w:spacing w:before="0" w:line="240" w:lineRule="auto"/>
        <w:rPr>
          <w:rFonts w:ascii="Arial" w:hAnsi="Arial" w:cs="Arial"/>
          <w:b w:val="0"/>
          <w:sz w:val="24"/>
          <w:szCs w:val="24"/>
        </w:rPr>
      </w:pPr>
      <w:r w:rsidRPr="00B52A64">
        <w:rPr>
          <w:rFonts w:ascii="Arial" w:hAnsi="Arial" w:cs="Arial"/>
          <w:b w:val="0"/>
          <w:sz w:val="24"/>
          <w:szCs w:val="24"/>
        </w:rPr>
        <w:t>Commission Delegated Regulation (EU) 2019/33 supplementing Regulation (EU) No 1308/2013 of the European Parliament and of the Council as regards applications for protections of designations of origin, geographical indications and traditional terms in the wine sector, the objection procedure, restrictions of use, amendments to product specifications, cancellation of protection, and labelling and presentation</w:t>
      </w:r>
    </w:p>
    <w:p w14:paraId="30500C24" w14:textId="77777777" w:rsidR="00C44753" w:rsidRPr="006073AA" w:rsidRDefault="00C44753" w:rsidP="00C44753"/>
    <w:p w14:paraId="09EE8AA9" w14:textId="77777777" w:rsidR="00C44753" w:rsidRPr="00B52A64" w:rsidRDefault="00C44753" w:rsidP="00C44753">
      <w:pPr>
        <w:pStyle w:val="H1"/>
        <w:numPr>
          <w:ilvl w:val="0"/>
          <w:numId w:val="8"/>
        </w:numPr>
        <w:spacing w:before="0" w:line="240" w:lineRule="auto"/>
        <w:ind w:left="709" w:hanging="425"/>
        <w:rPr>
          <w:rFonts w:ascii="Arial" w:hAnsi="Arial" w:cs="Arial"/>
          <w:b w:val="0"/>
          <w:sz w:val="24"/>
          <w:szCs w:val="24"/>
        </w:rPr>
      </w:pPr>
      <w:r w:rsidRPr="00B52A64">
        <w:rPr>
          <w:rFonts w:ascii="Arial" w:hAnsi="Arial" w:cs="Arial"/>
          <w:b w:val="0"/>
          <w:sz w:val="24"/>
          <w:szCs w:val="24"/>
        </w:rPr>
        <w:t xml:space="preserve">Regulation (EU) 2019/787 of the European Parliament and of the Council on the definition, description, presentation and labelling of spirit </w:t>
      </w:r>
      <w:r w:rsidRPr="00B52A64">
        <w:rPr>
          <w:rFonts w:ascii="Arial" w:hAnsi="Arial" w:cs="Arial"/>
          <w:b w:val="0"/>
          <w:sz w:val="24"/>
          <w:szCs w:val="24"/>
        </w:rPr>
        <w:lastRenderedPageBreak/>
        <w:t>drinks, the use of the names of spirit drinks in the presentation and labelling of other foodstuffs, the protection of geographical indications for spirit drinks, the use of ethyl alcohol and distillates of agricultural origin in alcoholic beverages</w:t>
      </w:r>
    </w:p>
    <w:p w14:paraId="1F4A371C" w14:textId="77777777" w:rsidR="00C44753" w:rsidRPr="00A473B7" w:rsidRDefault="00C44753" w:rsidP="00C44753">
      <w:pPr>
        <w:jc w:val="both"/>
      </w:pPr>
    </w:p>
    <w:p w14:paraId="7D30EC1C" w14:textId="77777777" w:rsidR="00C44753" w:rsidRDefault="00C44753" w:rsidP="00C44753">
      <w:pPr>
        <w:autoSpaceDE w:val="0"/>
        <w:autoSpaceDN w:val="0"/>
        <w:adjustRightInd w:val="0"/>
        <w:jc w:val="both"/>
        <w:rPr>
          <w:rFonts w:ascii="Arial" w:hAnsi="Arial" w:cs="Arial"/>
          <w:color w:val="000000"/>
          <w:sz w:val="24"/>
          <w:szCs w:val="24"/>
        </w:rPr>
      </w:pPr>
    </w:p>
    <w:p w14:paraId="58DEDE30" w14:textId="77777777" w:rsidR="00C44753" w:rsidRPr="001128A5" w:rsidRDefault="00C44753" w:rsidP="00C44753">
      <w:pPr>
        <w:rPr>
          <w:rFonts w:ascii="Arial" w:hAnsi="Arial" w:cs="Arial"/>
          <w:b/>
          <w:sz w:val="24"/>
          <w:szCs w:val="24"/>
        </w:rPr>
      </w:pPr>
      <w:bookmarkStart w:id="4" w:name="TOCentryTOC11_01_2019_12_05_37_795"/>
      <w:bookmarkStart w:id="5" w:name="TOCentryTOC11_01_2019_12_05_37_935"/>
      <w:bookmarkEnd w:id="4"/>
      <w:bookmarkEnd w:id="5"/>
      <w:r w:rsidRPr="001128A5">
        <w:rPr>
          <w:rFonts w:ascii="Arial" w:hAnsi="Arial" w:cs="Arial"/>
          <w:b/>
          <w:sz w:val="24"/>
          <w:szCs w:val="24"/>
        </w:rPr>
        <w:t xml:space="preserve">Any impact the SI may have on the </w:t>
      </w:r>
      <w:r>
        <w:rPr>
          <w:rFonts w:ascii="Arial" w:hAnsi="Arial" w:cs="Arial"/>
          <w:b/>
          <w:sz w:val="24"/>
          <w:szCs w:val="24"/>
        </w:rPr>
        <w:t>Senedd</w:t>
      </w:r>
      <w:r w:rsidRPr="001128A5">
        <w:rPr>
          <w:rFonts w:ascii="Arial" w:hAnsi="Arial" w:cs="Arial"/>
          <w:b/>
          <w:sz w:val="24"/>
          <w:szCs w:val="24"/>
        </w:rPr>
        <w:t>’s legislative competence and/or the Welsh Ministers’ executive competence</w:t>
      </w:r>
    </w:p>
    <w:p w14:paraId="78FEC68E" w14:textId="77777777" w:rsidR="00C44753" w:rsidRDefault="00C44753" w:rsidP="00C44753">
      <w:pPr>
        <w:contextualSpacing/>
        <w:jc w:val="both"/>
        <w:rPr>
          <w:rFonts w:ascii="Arial" w:hAnsi="Arial" w:cs="Arial"/>
          <w:sz w:val="24"/>
          <w:szCs w:val="24"/>
        </w:rPr>
      </w:pPr>
    </w:p>
    <w:p w14:paraId="61141DBC" w14:textId="77777777" w:rsidR="00C44753" w:rsidRPr="006D5052" w:rsidRDefault="00C44753" w:rsidP="00C44753">
      <w:pPr>
        <w:jc w:val="both"/>
        <w:rPr>
          <w:rFonts w:ascii="Arial" w:hAnsi="Arial" w:cs="Arial"/>
          <w:sz w:val="24"/>
        </w:rPr>
      </w:pPr>
      <w:r w:rsidRPr="00BB41B5">
        <w:rPr>
          <w:rFonts w:ascii="Arial" w:hAnsi="Arial" w:cs="Arial"/>
          <w:sz w:val="24"/>
          <w:szCs w:val="24"/>
        </w:rPr>
        <w:t>Welsh Government officials are of the view that the 2020</w:t>
      </w:r>
      <w:r>
        <w:rPr>
          <w:rFonts w:ascii="Arial" w:hAnsi="Arial" w:cs="Arial"/>
          <w:sz w:val="24"/>
          <w:szCs w:val="24"/>
        </w:rPr>
        <w:t xml:space="preserve"> Regulations contain provisions </w:t>
      </w:r>
      <w:r w:rsidRPr="00BB41B5">
        <w:rPr>
          <w:rFonts w:ascii="Arial" w:hAnsi="Arial" w:cs="Arial"/>
          <w:sz w:val="24"/>
          <w:szCs w:val="24"/>
        </w:rPr>
        <w:t>conferring functions on the Secretary of State in areas t</w:t>
      </w:r>
      <w:r>
        <w:rPr>
          <w:rFonts w:ascii="Arial" w:hAnsi="Arial" w:cs="Arial"/>
          <w:sz w:val="24"/>
          <w:szCs w:val="24"/>
        </w:rPr>
        <w:t xml:space="preserve">hat are within the scope of the </w:t>
      </w:r>
      <w:r w:rsidRPr="00BB41B5">
        <w:rPr>
          <w:rFonts w:ascii="Arial" w:hAnsi="Arial" w:cs="Arial"/>
          <w:sz w:val="24"/>
          <w:szCs w:val="24"/>
        </w:rPr>
        <w:t>Senedd’s legislative competence. Functions conferred on</w:t>
      </w:r>
      <w:r>
        <w:rPr>
          <w:rFonts w:ascii="Arial" w:hAnsi="Arial" w:cs="Arial"/>
          <w:sz w:val="24"/>
          <w:szCs w:val="24"/>
        </w:rPr>
        <w:t xml:space="preserve"> the Secretary of State without </w:t>
      </w:r>
      <w:r w:rsidRPr="00BB41B5">
        <w:rPr>
          <w:rFonts w:ascii="Arial" w:hAnsi="Arial" w:cs="Arial"/>
          <w:sz w:val="24"/>
          <w:szCs w:val="24"/>
        </w:rPr>
        <w:t>encumbrance will constitute functions of a Minister o</w:t>
      </w:r>
      <w:r>
        <w:rPr>
          <w:rFonts w:ascii="Arial" w:hAnsi="Arial" w:cs="Arial"/>
          <w:sz w:val="24"/>
          <w:szCs w:val="24"/>
        </w:rPr>
        <w:t xml:space="preserve">f the Crown for the purposes of </w:t>
      </w:r>
      <w:r w:rsidRPr="00BB41B5">
        <w:rPr>
          <w:rFonts w:ascii="Arial" w:hAnsi="Arial" w:cs="Arial"/>
          <w:sz w:val="24"/>
          <w:szCs w:val="24"/>
        </w:rPr>
        <w:t>paragraph 11(2) of Schedule 7B to the Government of</w:t>
      </w:r>
      <w:r>
        <w:rPr>
          <w:rFonts w:ascii="Arial" w:hAnsi="Arial" w:cs="Arial"/>
          <w:sz w:val="24"/>
          <w:szCs w:val="24"/>
        </w:rPr>
        <w:t xml:space="preserve"> Wales Act 2006 (‘GoWA’), which </w:t>
      </w:r>
      <w:r w:rsidRPr="00BB41B5">
        <w:rPr>
          <w:rFonts w:ascii="Arial" w:hAnsi="Arial" w:cs="Arial"/>
          <w:sz w:val="24"/>
          <w:szCs w:val="24"/>
        </w:rPr>
        <w:t>restricts the Senedd’s legislative competence to remove o</w:t>
      </w:r>
      <w:r>
        <w:rPr>
          <w:rFonts w:ascii="Arial" w:hAnsi="Arial" w:cs="Arial"/>
          <w:sz w:val="24"/>
          <w:szCs w:val="24"/>
        </w:rPr>
        <w:t xml:space="preserve">r modify such functions without </w:t>
      </w:r>
      <w:r w:rsidRPr="00BB41B5">
        <w:rPr>
          <w:rFonts w:ascii="Arial" w:hAnsi="Arial" w:cs="Arial"/>
          <w:sz w:val="24"/>
          <w:szCs w:val="24"/>
        </w:rPr>
        <w:t>consulting the relevant UK government minister.</w:t>
      </w:r>
    </w:p>
    <w:p w14:paraId="5BC5A1B7" w14:textId="77777777" w:rsidR="00C44753" w:rsidRDefault="00C44753" w:rsidP="00C44753">
      <w:pPr>
        <w:pStyle w:val="EMLevel1Paragraph"/>
        <w:numPr>
          <w:ilvl w:val="0"/>
          <w:numId w:val="0"/>
        </w:numPr>
        <w:spacing w:before="0" w:after="0"/>
        <w:ind w:left="576" w:hanging="576"/>
        <w:rPr>
          <w:rFonts w:ascii="Arial" w:hAnsi="Arial"/>
          <w:b/>
          <w:szCs w:val="24"/>
        </w:rPr>
      </w:pPr>
    </w:p>
    <w:p w14:paraId="47D9E350" w14:textId="77777777" w:rsidR="00C44753" w:rsidRPr="001128A5" w:rsidRDefault="00C44753" w:rsidP="00C44753">
      <w:pPr>
        <w:pStyle w:val="EMLevel1Paragraph"/>
        <w:numPr>
          <w:ilvl w:val="0"/>
          <w:numId w:val="0"/>
        </w:numPr>
        <w:spacing w:before="0" w:after="0"/>
        <w:ind w:left="576" w:hanging="576"/>
        <w:rPr>
          <w:rFonts w:ascii="Arial" w:hAnsi="Arial"/>
          <w:b/>
          <w:szCs w:val="24"/>
        </w:rPr>
      </w:pPr>
      <w:r w:rsidRPr="001128A5">
        <w:rPr>
          <w:rFonts w:ascii="Arial" w:hAnsi="Arial"/>
          <w:b/>
          <w:szCs w:val="24"/>
        </w:rPr>
        <w:t xml:space="preserve">The purpose of the amendments </w:t>
      </w:r>
    </w:p>
    <w:p w14:paraId="0CF25B3E" w14:textId="77777777" w:rsidR="00C44753" w:rsidRPr="000040A4" w:rsidRDefault="00C44753" w:rsidP="00C44753">
      <w:pPr>
        <w:pStyle w:val="EMLevel1Paragraph"/>
        <w:numPr>
          <w:ilvl w:val="0"/>
          <w:numId w:val="0"/>
        </w:numPr>
        <w:spacing w:before="0" w:after="0"/>
        <w:jc w:val="both"/>
        <w:rPr>
          <w:rFonts w:ascii="Arial" w:hAnsi="Arial"/>
          <w:szCs w:val="24"/>
        </w:rPr>
      </w:pPr>
    </w:p>
    <w:p w14:paraId="48A31192" w14:textId="77777777" w:rsidR="00C44753" w:rsidRDefault="00C44753" w:rsidP="00C44753">
      <w:pPr>
        <w:pStyle w:val="EMLevel1Paragraph"/>
        <w:numPr>
          <w:ilvl w:val="0"/>
          <w:numId w:val="0"/>
        </w:numPr>
        <w:spacing w:before="0" w:after="0"/>
        <w:jc w:val="both"/>
        <w:rPr>
          <w:rFonts w:ascii="Arial" w:hAnsi="Arial"/>
          <w:szCs w:val="24"/>
        </w:rPr>
      </w:pPr>
      <w:r>
        <w:rPr>
          <w:rFonts w:ascii="Arial" w:hAnsi="Arial"/>
          <w:szCs w:val="24"/>
        </w:rPr>
        <w:t>The</w:t>
      </w:r>
      <w:r w:rsidRPr="005D61F0">
        <w:rPr>
          <w:rFonts w:ascii="Arial" w:hAnsi="Arial"/>
          <w:szCs w:val="24"/>
        </w:rPr>
        <w:t xml:space="preserve"> 2020 Regulations amend retained EU food and drink </w:t>
      </w:r>
      <w:r>
        <w:rPr>
          <w:rFonts w:ascii="Arial" w:hAnsi="Arial"/>
          <w:szCs w:val="24"/>
        </w:rPr>
        <w:t>R</w:t>
      </w:r>
      <w:r w:rsidRPr="005D61F0">
        <w:rPr>
          <w:rFonts w:ascii="Arial" w:hAnsi="Arial"/>
          <w:szCs w:val="24"/>
        </w:rPr>
        <w:t>egulations</w:t>
      </w:r>
      <w:r>
        <w:rPr>
          <w:rFonts w:ascii="Arial" w:hAnsi="Arial"/>
          <w:szCs w:val="24"/>
        </w:rPr>
        <w:t xml:space="preserve"> and domestic subordinate legislation</w:t>
      </w:r>
      <w:r w:rsidRPr="005D61F0">
        <w:rPr>
          <w:rFonts w:ascii="Arial" w:hAnsi="Arial"/>
          <w:szCs w:val="24"/>
        </w:rPr>
        <w:t xml:space="preserve"> concerning geographical indication (“GI”) schemes</w:t>
      </w:r>
      <w:r>
        <w:rPr>
          <w:rFonts w:ascii="Arial" w:hAnsi="Arial"/>
          <w:szCs w:val="24"/>
        </w:rPr>
        <w:t>, wine and organic products</w:t>
      </w:r>
      <w:r w:rsidRPr="005D61F0">
        <w:rPr>
          <w:rFonts w:ascii="Arial" w:hAnsi="Arial"/>
          <w:szCs w:val="24"/>
        </w:rPr>
        <w:t xml:space="preserve">. It is subject to the made-affirmative procedure as the provisions contained </w:t>
      </w:r>
      <w:r>
        <w:rPr>
          <w:rFonts w:ascii="Arial" w:hAnsi="Arial"/>
          <w:szCs w:val="24"/>
        </w:rPr>
        <w:t xml:space="preserve">needed </w:t>
      </w:r>
      <w:r w:rsidRPr="005D61F0">
        <w:rPr>
          <w:rFonts w:ascii="Arial" w:hAnsi="Arial"/>
          <w:szCs w:val="24"/>
        </w:rPr>
        <w:t>to enter into force as soon as the transition period end</w:t>
      </w:r>
      <w:r>
        <w:rPr>
          <w:rFonts w:ascii="Arial" w:hAnsi="Arial"/>
          <w:szCs w:val="24"/>
        </w:rPr>
        <w:t>ed</w:t>
      </w:r>
      <w:r w:rsidRPr="005D61F0">
        <w:rPr>
          <w:rFonts w:ascii="Arial" w:hAnsi="Arial"/>
          <w:szCs w:val="24"/>
        </w:rPr>
        <w:t>, but for timing reasons, could not be included in previous secondary legislation.</w:t>
      </w:r>
    </w:p>
    <w:p w14:paraId="32E5E2C9" w14:textId="77777777" w:rsidR="00C44753" w:rsidRPr="005D61F0" w:rsidRDefault="00C44753" w:rsidP="00C44753">
      <w:pPr>
        <w:pStyle w:val="EMLevel1Paragraph"/>
        <w:numPr>
          <w:ilvl w:val="0"/>
          <w:numId w:val="0"/>
        </w:numPr>
        <w:spacing w:before="0" w:after="0"/>
        <w:ind w:left="426"/>
        <w:jc w:val="both"/>
        <w:rPr>
          <w:rFonts w:ascii="Arial" w:hAnsi="Arial"/>
          <w:szCs w:val="24"/>
        </w:rPr>
      </w:pPr>
    </w:p>
    <w:p w14:paraId="3839FD35" w14:textId="77777777" w:rsidR="00C44753" w:rsidRPr="005C7D08" w:rsidRDefault="00C44753" w:rsidP="00C44753">
      <w:pPr>
        <w:jc w:val="both"/>
        <w:rPr>
          <w:rFonts w:ascii="Arial" w:hAnsi="Arial"/>
          <w:sz w:val="24"/>
          <w:szCs w:val="24"/>
        </w:rPr>
      </w:pPr>
      <w:r w:rsidRPr="005C7D08">
        <w:rPr>
          <w:rFonts w:ascii="Arial" w:hAnsi="Arial"/>
          <w:sz w:val="24"/>
          <w:szCs w:val="24"/>
        </w:rPr>
        <w:lastRenderedPageBreak/>
        <w:t xml:space="preserve">Primarily, the 2020 Regulations </w:t>
      </w:r>
      <w:r>
        <w:rPr>
          <w:rFonts w:ascii="Arial" w:hAnsi="Arial"/>
          <w:sz w:val="24"/>
          <w:szCs w:val="24"/>
        </w:rPr>
        <w:t>amends retained direct EU legislation to enable the UK to provide for</w:t>
      </w:r>
      <w:r w:rsidRPr="005C7D08">
        <w:rPr>
          <w:rFonts w:ascii="Arial" w:hAnsi="Arial"/>
          <w:sz w:val="24"/>
          <w:szCs w:val="24"/>
        </w:rPr>
        <w:t xml:space="preserve"> interim protection of third country GIs and traditional wine terms agreed in continuity trade agreements between the UK and third countries, but which have not yet been ratified</w:t>
      </w:r>
      <w:r>
        <w:rPr>
          <w:rFonts w:ascii="Arial" w:hAnsi="Arial"/>
          <w:sz w:val="24"/>
          <w:szCs w:val="24"/>
        </w:rPr>
        <w:t>- referred to as</w:t>
      </w:r>
      <w:r w:rsidRPr="005C7D08">
        <w:rPr>
          <w:rFonts w:ascii="Arial" w:hAnsi="Arial"/>
          <w:sz w:val="24"/>
          <w:szCs w:val="24"/>
        </w:rPr>
        <w:t xml:space="preserve">  “bridging arrangements”.</w:t>
      </w:r>
    </w:p>
    <w:p w14:paraId="23B398F9" w14:textId="77777777" w:rsidR="00C44753" w:rsidRDefault="00C44753" w:rsidP="00C44753">
      <w:pPr>
        <w:jc w:val="both"/>
        <w:rPr>
          <w:rFonts w:ascii="Arial" w:hAnsi="Arial"/>
          <w:color w:val="000000" w:themeColor="text1"/>
          <w:sz w:val="24"/>
          <w:szCs w:val="24"/>
        </w:rPr>
      </w:pPr>
    </w:p>
    <w:p w14:paraId="3C003D35" w14:textId="77777777" w:rsidR="00C44753" w:rsidRPr="005C7D08" w:rsidRDefault="00C44753" w:rsidP="00C44753">
      <w:pPr>
        <w:jc w:val="both"/>
        <w:rPr>
          <w:rFonts w:ascii="Arial" w:hAnsi="Arial"/>
          <w:color w:val="000000" w:themeColor="text1"/>
          <w:sz w:val="24"/>
          <w:szCs w:val="24"/>
        </w:rPr>
      </w:pPr>
      <w:r w:rsidRPr="005C7D08">
        <w:rPr>
          <w:rFonts w:ascii="Arial" w:hAnsi="Arial"/>
          <w:color w:val="000000" w:themeColor="text1"/>
          <w:sz w:val="24"/>
          <w:szCs w:val="24"/>
        </w:rPr>
        <w:t xml:space="preserve">The 2020 Regulations </w:t>
      </w:r>
      <w:r>
        <w:rPr>
          <w:rFonts w:ascii="Arial" w:hAnsi="Arial"/>
          <w:color w:val="000000" w:themeColor="text1"/>
          <w:sz w:val="24"/>
          <w:szCs w:val="24"/>
        </w:rPr>
        <w:t>also included</w:t>
      </w:r>
      <w:r w:rsidRPr="005C7D08">
        <w:rPr>
          <w:rFonts w:ascii="Arial" w:hAnsi="Arial"/>
          <w:color w:val="000000" w:themeColor="text1"/>
          <w:sz w:val="24"/>
          <w:szCs w:val="24"/>
        </w:rPr>
        <w:t xml:space="preserve"> some other minor amendments which need</w:t>
      </w:r>
      <w:r>
        <w:rPr>
          <w:rFonts w:ascii="Arial" w:hAnsi="Arial"/>
          <w:color w:val="000000" w:themeColor="text1"/>
          <w:sz w:val="24"/>
          <w:szCs w:val="24"/>
        </w:rPr>
        <w:t>ed</w:t>
      </w:r>
      <w:r w:rsidRPr="005C7D08">
        <w:rPr>
          <w:rFonts w:ascii="Arial" w:hAnsi="Arial"/>
          <w:color w:val="000000" w:themeColor="text1"/>
          <w:sz w:val="24"/>
          <w:szCs w:val="24"/>
        </w:rPr>
        <w:t xml:space="preserve"> to enter in to force at the end of the transition period, including on wine import certifications, US wine names of origin</w:t>
      </w:r>
      <w:r>
        <w:rPr>
          <w:rFonts w:ascii="Arial" w:hAnsi="Arial"/>
          <w:color w:val="000000" w:themeColor="text1"/>
          <w:sz w:val="24"/>
          <w:szCs w:val="24"/>
        </w:rPr>
        <w:t>,</w:t>
      </w:r>
      <w:r w:rsidRPr="005C7D08">
        <w:rPr>
          <w:rFonts w:ascii="Arial" w:hAnsi="Arial"/>
          <w:color w:val="000000" w:themeColor="text1"/>
          <w:sz w:val="24"/>
          <w:szCs w:val="24"/>
        </w:rPr>
        <w:t xml:space="preserve"> the importing of organic food and feed, ongoing protection of US and Mexican product designations, the functionality of retained spirits drinks regulations and adding a new class of GI to support the UK-Japan trade agreement</w:t>
      </w:r>
      <w:r>
        <w:rPr>
          <w:rFonts w:ascii="Arial" w:hAnsi="Arial"/>
          <w:color w:val="000000" w:themeColor="text1"/>
          <w:sz w:val="24"/>
          <w:szCs w:val="24"/>
        </w:rPr>
        <w:t xml:space="preserve">. </w:t>
      </w:r>
    </w:p>
    <w:p w14:paraId="7038EF4B" w14:textId="77777777" w:rsidR="00C44753" w:rsidRPr="000040A4" w:rsidRDefault="00C44753" w:rsidP="00C44753">
      <w:pPr>
        <w:jc w:val="both"/>
        <w:rPr>
          <w:rFonts w:ascii="Arial" w:hAnsi="Arial" w:cs="Arial"/>
          <w:sz w:val="24"/>
          <w:szCs w:val="24"/>
        </w:rPr>
      </w:pPr>
    </w:p>
    <w:p w14:paraId="534116AB" w14:textId="77777777" w:rsidR="00C44753" w:rsidRPr="001D3300" w:rsidRDefault="00C44753" w:rsidP="00C44753">
      <w:pPr>
        <w:jc w:val="both"/>
        <w:outlineLvl w:val="1"/>
        <w:rPr>
          <w:rFonts w:ascii="Arial" w:hAnsi="Arial"/>
          <w:sz w:val="24"/>
          <w:szCs w:val="24"/>
        </w:rPr>
      </w:pPr>
      <w:r w:rsidRPr="001D3300">
        <w:rPr>
          <w:rFonts w:ascii="Arial" w:hAnsi="Arial"/>
          <w:sz w:val="24"/>
          <w:szCs w:val="24"/>
        </w:rPr>
        <w:t xml:space="preserve">The 2020 Regulations were laid to address deficiencies in retained EU legislation arising from EU Exit. It is required to ensure that the retained EU legislation is operable in the UK (as provided for by the European Union (Withdrawal) Act 2018). </w:t>
      </w:r>
    </w:p>
    <w:p w14:paraId="030F72DE" w14:textId="77777777" w:rsidR="00C44753" w:rsidRPr="001D3300" w:rsidRDefault="00C44753" w:rsidP="00C44753">
      <w:pPr>
        <w:jc w:val="both"/>
        <w:outlineLvl w:val="1"/>
        <w:rPr>
          <w:rFonts w:ascii="Arial" w:hAnsi="Arial" w:cs="Arial"/>
          <w:bCs/>
          <w:iCs/>
          <w:sz w:val="24"/>
          <w:szCs w:val="24"/>
          <w:lang w:val="en"/>
        </w:rPr>
      </w:pPr>
    </w:p>
    <w:p w14:paraId="02B672D6" w14:textId="77777777" w:rsidR="00C44753" w:rsidRDefault="00C44753" w:rsidP="00C44753">
      <w:pPr>
        <w:numPr>
          <w:ilvl w:val="1"/>
          <w:numId w:val="0"/>
        </w:numPr>
        <w:ind w:hanging="576"/>
        <w:jc w:val="both"/>
        <w:outlineLvl w:val="1"/>
        <w:rPr>
          <w:rFonts w:ascii="Arial" w:hAnsi="Arial" w:cs="Arial"/>
          <w:sz w:val="24"/>
          <w:szCs w:val="24"/>
        </w:rPr>
      </w:pPr>
      <w:bookmarkStart w:id="6" w:name="_3znysh7" w:colFirst="0" w:colLast="0"/>
      <w:bookmarkEnd w:id="6"/>
      <w:r>
        <w:rPr>
          <w:rFonts w:ascii="Arial" w:hAnsi="Arial" w:cs="Arial"/>
          <w:sz w:val="24"/>
          <w:szCs w:val="28"/>
        </w:rPr>
        <w:t xml:space="preserve">       </w:t>
      </w:r>
      <w:r>
        <w:rPr>
          <w:rFonts w:ascii="Arial" w:hAnsi="Arial" w:cs="Arial"/>
          <w:sz w:val="24"/>
          <w:szCs w:val="28"/>
        </w:rPr>
        <w:tab/>
      </w:r>
      <w:r w:rsidRPr="001128A5">
        <w:rPr>
          <w:rFonts w:ascii="Arial" w:hAnsi="Arial" w:cs="Arial"/>
          <w:sz w:val="24"/>
          <w:szCs w:val="24"/>
        </w:rPr>
        <w:t xml:space="preserve">The Regulations and accompanying Explanatory Memorandum, setting out the effect of amendments is available here: </w:t>
      </w:r>
    </w:p>
    <w:p w14:paraId="2C603A76" w14:textId="77777777" w:rsidR="00C44753" w:rsidRDefault="00C44753" w:rsidP="00C44753">
      <w:pPr>
        <w:numPr>
          <w:ilvl w:val="1"/>
          <w:numId w:val="0"/>
        </w:numPr>
        <w:jc w:val="both"/>
        <w:outlineLvl w:val="1"/>
        <w:rPr>
          <w:rStyle w:val="Hyperlink"/>
          <w:rFonts w:ascii="Arial" w:hAnsi="Arial" w:cs="Arial"/>
          <w:sz w:val="24"/>
          <w:szCs w:val="24"/>
        </w:rPr>
      </w:pPr>
      <w:r w:rsidRPr="00C44753">
        <w:rPr>
          <w:rStyle w:val="Hyperlink"/>
          <w:rFonts w:ascii="Arial" w:hAnsi="Arial" w:cs="Arial"/>
          <w:sz w:val="24"/>
          <w:szCs w:val="24"/>
        </w:rPr>
        <w:t>https://www.legislation.gov.uk/ukdsi/2020/9780348214109/contents</w:t>
      </w:r>
    </w:p>
    <w:p w14:paraId="02AF8C9E" w14:textId="77777777" w:rsidR="00C44753" w:rsidRDefault="00C44753" w:rsidP="00C44753">
      <w:pPr>
        <w:jc w:val="both"/>
        <w:rPr>
          <w:rFonts w:ascii="Arial" w:hAnsi="Arial" w:cs="Arial"/>
          <w:b/>
          <w:sz w:val="24"/>
          <w:szCs w:val="24"/>
        </w:rPr>
      </w:pPr>
    </w:p>
    <w:p w14:paraId="23B24DBC" w14:textId="77777777" w:rsidR="00C44753" w:rsidRDefault="00C44753" w:rsidP="00C44753">
      <w:pPr>
        <w:ind w:left="-142"/>
        <w:jc w:val="both"/>
        <w:rPr>
          <w:rFonts w:ascii="Arial" w:hAnsi="Arial" w:cs="Arial"/>
          <w:b/>
          <w:sz w:val="24"/>
          <w:szCs w:val="24"/>
        </w:rPr>
      </w:pPr>
      <w:r>
        <w:rPr>
          <w:rFonts w:ascii="Arial" w:hAnsi="Arial" w:cs="Arial"/>
          <w:b/>
          <w:sz w:val="24"/>
          <w:szCs w:val="24"/>
        </w:rPr>
        <w:t xml:space="preserve">Consent </w:t>
      </w:r>
    </w:p>
    <w:p w14:paraId="0A5CF1F4" w14:textId="77777777" w:rsidR="00C44753" w:rsidRPr="001D3300" w:rsidRDefault="00C44753" w:rsidP="00C44753">
      <w:pPr>
        <w:ind w:left="-142"/>
        <w:jc w:val="both"/>
        <w:rPr>
          <w:rFonts w:ascii="Arial" w:hAnsi="Arial" w:cs="Arial"/>
          <w:sz w:val="24"/>
          <w:szCs w:val="24"/>
        </w:rPr>
      </w:pPr>
    </w:p>
    <w:p w14:paraId="2ABAE127" w14:textId="77777777" w:rsidR="00C44753" w:rsidRDefault="00C44753" w:rsidP="00C44753">
      <w:pPr>
        <w:jc w:val="both"/>
        <w:rPr>
          <w:rFonts w:ascii="Arial" w:hAnsi="Arial" w:cs="Arial"/>
          <w:sz w:val="24"/>
          <w:szCs w:val="24"/>
        </w:rPr>
      </w:pPr>
      <w:r>
        <w:rPr>
          <w:rFonts w:ascii="Arial" w:hAnsi="Arial" w:cs="Arial"/>
          <w:sz w:val="24"/>
          <w:szCs w:val="24"/>
        </w:rPr>
        <w:t>T</w:t>
      </w:r>
      <w:r w:rsidRPr="00997EDB">
        <w:rPr>
          <w:rFonts w:ascii="Arial" w:hAnsi="Arial" w:cs="Arial"/>
          <w:sz w:val="24"/>
          <w:szCs w:val="24"/>
        </w:rPr>
        <w:t xml:space="preserve">he Welsh Government’s position </w:t>
      </w:r>
      <w:r>
        <w:rPr>
          <w:rFonts w:ascii="Arial" w:hAnsi="Arial" w:cs="Arial"/>
          <w:sz w:val="24"/>
          <w:szCs w:val="24"/>
        </w:rPr>
        <w:t xml:space="preserve">is </w:t>
      </w:r>
      <w:r w:rsidRPr="00997EDB">
        <w:rPr>
          <w:rFonts w:ascii="Arial" w:hAnsi="Arial" w:cs="Arial"/>
          <w:sz w:val="24"/>
          <w:szCs w:val="24"/>
        </w:rPr>
        <w:t xml:space="preserve">that </w:t>
      </w:r>
      <w:r>
        <w:rPr>
          <w:rFonts w:ascii="Arial" w:hAnsi="Arial" w:cs="Arial"/>
          <w:sz w:val="24"/>
          <w:szCs w:val="24"/>
        </w:rPr>
        <w:t>geographical indications schemes, wine, spirit drinks and organic food and feed are</w:t>
      </w:r>
      <w:r w:rsidRPr="00997EDB">
        <w:rPr>
          <w:rFonts w:ascii="Arial" w:hAnsi="Arial" w:cs="Arial"/>
          <w:sz w:val="24"/>
          <w:szCs w:val="24"/>
        </w:rPr>
        <w:t xml:space="preserve"> devolved and </w:t>
      </w:r>
      <w:r>
        <w:rPr>
          <w:rFonts w:ascii="Arial" w:hAnsi="Arial" w:cs="Arial"/>
          <w:sz w:val="24"/>
          <w:szCs w:val="24"/>
        </w:rPr>
        <w:t xml:space="preserve">do not relate to the </w:t>
      </w:r>
      <w:r w:rsidRPr="00997EDB">
        <w:rPr>
          <w:rFonts w:ascii="Arial" w:hAnsi="Arial" w:cs="Arial"/>
          <w:sz w:val="24"/>
          <w:szCs w:val="24"/>
        </w:rPr>
        <w:t>reserved matter</w:t>
      </w:r>
      <w:r>
        <w:rPr>
          <w:rFonts w:ascii="Arial" w:hAnsi="Arial" w:cs="Arial"/>
          <w:sz w:val="24"/>
          <w:szCs w:val="24"/>
        </w:rPr>
        <w:t>s</w:t>
      </w:r>
      <w:r w:rsidRPr="00997EDB">
        <w:rPr>
          <w:rFonts w:ascii="Arial" w:hAnsi="Arial" w:cs="Arial"/>
          <w:sz w:val="24"/>
          <w:szCs w:val="24"/>
        </w:rPr>
        <w:t xml:space="preserve"> under any heading </w:t>
      </w:r>
      <w:r>
        <w:rPr>
          <w:rFonts w:ascii="Arial" w:hAnsi="Arial" w:cs="Arial"/>
          <w:sz w:val="24"/>
          <w:szCs w:val="24"/>
        </w:rPr>
        <w:t>in Schedule 7A to the Government of Wales Act</w:t>
      </w:r>
      <w:r w:rsidRPr="00997EDB">
        <w:rPr>
          <w:rFonts w:ascii="Arial" w:hAnsi="Arial" w:cs="Arial"/>
          <w:sz w:val="24"/>
          <w:szCs w:val="24"/>
        </w:rPr>
        <w:t xml:space="preserve"> 2006</w:t>
      </w:r>
      <w:r>
        <w:rPr>
          <w:rFonts w:ascii="Arial" w:hAnsi="Arial" w:cs="Arial"/>
          <w:sz w:val="24"/>
          <w:szCs w:val="24"/>
        </w:rPr>
        <w:t>. However,</w:t>
      </w:r>
      <w:r w:rsidRPr="00997EDB">
        <w:rPr>
          <w:rFonts w:ascii="Arial" w:hAnsi="Arial" w:cs="Arial"/>
          <w:sz w:val="24"/>
          <w:szCs w:val="24"/>
        </w:rPr>
        <w:t xml:space="preserve"> the UK Government does not</w:t>
      </w:r>
      <w:r>
        <w:rPr>
          <w:rFonts w:ascii="Arial" w:hAnsi="Arial" w:cs="Arial"/>
          <w:sz w:val="24"/>
          <w:szCs w:val="24"/>
        </w:rPr>
        <w:t xml:space="preserve"> agree</w:t>
      </w:r>
      <w:r w:rsidRPr="00997EDB">
        <w:rPr>
          <w:rFonts w:ascii="Arial" w:hAnsi="Arial" w:cs="Arial"/>
          <w:sz w:val="24"/>
          <w:szCs w:val="24"/>
        </w:rPr>
        <w:t xml:space="preserve">, </w:t>
      </w:r>
      <w:r>
        <w:rPr>
          <w:rFonts w:ascii="Arial" w:hAnsi="Arial" w:cs="Arial"/>
          <w:sz w:val="24"/>
          <w:szCs w:val="24"/>
        </w:rPr>
        <w:t xml:space="preserve">and believes </w:t>
      </w:r>
      <w:r>
        <w:rPr>
          <w:rFonts w:ascii="Arial" w:hAnsi="Arial" w:cs="Arial"/>
          <w:sz w:val="24"/>
          <w:szCs w:val="24"/>
        </w:rPr>
        <w:lastRenderedPageBreak/>
        <w:t>the subject matter of the 2020 Regulations is reserved. T</w:t>
      </w:r>
      <w:r w:rsidRPr="00997EDB">
        <w:rPr>
          <w:rFonts w:ascii="Arial" w:hAnsi="Arial" w:cs="Arial"/>
          <w:sz w:val="24"/>
          <w:szCs w:val="24"/>
        </w:rPr>
        <w:t>herefore</w:t>
      </w:r>
      <w:r>
        <w:rPr>
          <w:rFonts w:ascii="Arial" w:hAnsi="Arial" w:cs="Arial"/>
          <w:sz w:val="24"/>
          <w:szCs w:val="24"/>
        </w:rPr>
        <w:t>, the UK Government</w:t>
      </w:r>
      <w:r w:rsidRPr="00997EDB">
        <w:rPr>
          <w:rFonts w:ascii="Arial" w:hAnsi="Arial" w:cs="Arial"/>
          <w:sz w:val="24"/>
          <w:szCs w:val="24"/>
        </w:rPr>
        <w:t xml:space="preserve"> has not requested Welsh Ministerial consent</w:t>
      </w:r>
      <w:r>
        <w:rPr>
          <w:rFonts w:ascii="Arial" w:hAnsi="Arial" w:cs="Arial"/>
          <w:sz w:val="24"/>
          <w:szCs w:val="24"/>
        </w:rPr>
        <w:t>.</w:t>
      </w:r>
    </w:p>
    <w:p w14:paraId="5E5C61E5" w14:textId="77777777" w:rsidR="00C44753" w:rsidRDefault="00C44753" w:rsidP="00C44753">
      <w:pPr>
        <w:jc w:val="both"/>
        <w:rPr>
          <w:rFonts w:ascii="Arial" w:hAnsi="Arial" w:cs="Arial"/>
          <w:sz w:val="24"/>
          <w:szCs w:val="24"/>
        </w:rPr>
      </w:pPr>
    </w:p>
    <w:p w14:paraId="19246808" w14:textId="77777777" w:rsidR="00C44753" w:rsidRDefault="00C44753" w:rsidP="00C44753">
      <w:pPr>
        <w:jc w:val="both"/>
        <w:rPr>
          <w:rFonts w:ascii="Arial" w:hAnsi="Arial" w:cs="Arial"/>
          <w:sz w:val="24"/>
          <w:szCs w:val="24"/>
        </w:rPr>
      </w:pPr>
      <w:r>
        <w:rPr>
          <w:rFonts w:ascii="Arial" w:hAnsi="Arial" w:cs="Arial"/>
          <w:sz w:val="24"/>
          <w:szCs w:val="24"/>
        </w:rPr>
        <w:t xml:space="preserve">However, Welsh Government confirms that Welsh Minister consent  </w:t>
      </w:r>
      <w:r w:rsidRPr="00E224FA">
        <w:rPr>
          <w:rFonts w:ascii="Arial" w:hAnsi="Arial" w:cs="Arial"/>
          <w:sz w:val="24"/>
          <w:szCs w:val="24"/>
        </w:rPr>
        <w:t>to make th</w:t>
      </w:r>
      <w:r>
        <w:rPr>
          <w:rFonts w:ascii="Arial" w:hAnsi="Arial" w:cs="Arial"/>
          <w:sz w:val="24"/>
          <w:szCs w:val="24"/>
        </w:rPr>
        <w:t xml:space="preserve">ese corrections in relation to, </w:t>
      </w:r>
      <w:r w:rsidRPr="00E224FA">
        <w:rPr>
          <w:rFonts w:ascii="Arial" w:hAnsi="Arial" w:cs="Arial"/>
          <w:sz w:val="24"/>
          <w:szCs w:val="24"/>
        </w:rPr>
        <w:t xml:space="preserve">and on behalf of, Wales </w:t>
      </w:r>
      <w:r>
        <w:rPr>
          <w:rFonts w:ascii="Arial" w:hAnsi="Arial" w:cs="Arial"/>
          <w:sz w:val="24"/>
          <w:szCs w:val="24"/>
        </w:rPr>
        <w:t>would have been given had it been sought for reasons of efficiency and</w:t>
      </w:r>
      <w:r w:rsidRPr="00E224FA">
        <w:rPr>
          <w:rFonts w:ascii="Arial" w:hAnsi="Arial" w:cs="Arial"/>
          <w:sz w:val="24"/>
          <w:szCs w:val="24"/>
        </w:rPr>
        <w:t xml:space="preserve"> expe</w:t>
      </w:r>
      <w:r>
        <w:rPr>
          <w:rFonts w:ascii="Arial" w:hAnsi="Arial" w:cs="Arial"/>
          <w:sz w:val="24"/>
          <w:szCs w:val="24"/>
        </w:rPr>
        <w:t>diency</w:t>
      </w:r>
      <w:r w:rsidRPr="00E224FA">
        <w:rPr>
          <w:rFonts w:ascii="Arial" w:hAnsi="Arial" w:cs="Arial"/>
          <w:sz w:val="24"/>
          <w:szCs w:val="24"/>
        </w:rPr>
        <w:t>. There is no divergence i</w:t>
      </w:r>
      <w:r>
        <w:rPr>
          <w:rFonts w:ascii="Arial" w:hAnsi="Arial" w:cs="Arial"/>
          <w:sz w:val="24"/>
          <w:szCs w:val="24"/>
        </w:rPr>
        <w:t>n policy between the Welsh Government and the UK Government in relation to the substantive provision made by the 2020 Regulations.</w:t>
      </w:r>
      <w:r w:rsidRPr="00E224FA">
        <w:rPr>
          <w:rFonts w:ascii="Arial" w:hAnsi="Arial" w:cs="Arial"/>
          <w:sz w:val="24"/>
          <w:szCs w:val="24"/>
        </w:rPr>
        <w:t xml:space="preserve"> These amendments are to ensur</w:t>
      </w:r>
      <w:r>
        <w:rPr>
          <w:rFonts w:ascii="Arial" w:hAnsi="Arial" w:cs="Arial"/>
          <w:sz w:val="24"/>
          <w:szCs w:val="24"/>
        </w:rPr>
        <w:t>e that the retained direct EU legislation concern, and the regimes underpinned by that legislation, continues to operate effectively as of</w:t>
      </w:r>
      <w:r w:rsidRPr="00E224FA">
        <w:rPr>
          <w:rFonts w:ascii="Arial" w:hAnsi="Arial" w:cs="Arial"/>
          <w:sz w:val="24"/>
          <w:szCs w:val="24"/>
        </w:rPr>
        <w:t xml:space="preserve"> the end of the </w:t>
      </w:r>
      <w:r>
        <w:rPr>
          <w:rFonts w:ascii="Arial" w:hAnsi="Arial" w:cs="Arial"/>
          <w:sz w:val="24"/>
          <w:szCs w:val="24"/>
        </w:rPr>
        <w:t>transition p</w:t>
      </w:r>
      <w:r w:rsidRPr="00E224FA">
        <w:rPr>
          <w:rFonts w:ascii="Arial" w:hAnsi="Arial" w:cs="Arial"/>
          <w:sz w:val="24"/>
          <w:szCs w:val="24"/>
        </w:rPr>
        <w:t>eriod.</w:t>
      </w:r>
      <w:r w:rsidRPr="00E224FA">
        <w:rPr>
          <w:rFonts w:ascii="Arial" w:hAnsi="Arial" w:cs="Arial"/>
          <w:sz w:val="24"/>
          <w:szCs w:val="24"/>
        </w:rPr>
        <w:cr/>
      </w:r>
    </w:p>
    <w:p w14:paraId="24B7CC95" w14:textId="77777777" w:rsidR="00C44753" w:rsidRDefault="00C44753" w:rsidP="00C44753">
      <w:pPr>
        <w:jc w:val="both"/>
        <w:rPr>
          <w:rFonts w:ascii="Arial" w:hAnsi="Arial" w:cs="Arial"/>
          <w:sz w:val="24"/>
          <w:szCs w:val="24"/>
        </w:rPr>
      </w:pPr>
      <w:r>
        <w:rPr>
          <w:rFonts w:ascii="Arial" w:hAnsi="Arial"/>
          <w:sz w:val="24"/>
        </w:rPr>
        <w:t xml:space="preserve">Welsh Government has written to the UK Government to inform them of our view </w:t>
      </w:r>
      <w:r>
        <w:rPr>
          <w:rFonts w:ascii="Arial" w:hAnsi="Arial" w:cs="Arial"/>
          <w:sz w:val="24"/>
          <w:szCs w:val="24"/>
        </w:rPr>
        <w:t xml:space="preserve">that it is not appropriate for UK Government Ministers to take unilateral decisions on matters which have a direct effect upon areas of devolved competence’ </w:t>
      </w:r>
    </w:p>
    <w:p w14:paraId="3A302328" w14:textId="77777777" w:rsidR="00C44753" w:rsidRDefault="00C44753" w:rsidP="00C44753">
      <w:pPr>
        <w:rPr>
          <w:rFonts w:ascii="Arial" w:hAnsi="Arial" w:cs="Arial"/>
          <w:sz w:val="24"/>
          <w:szCs w:val="24"/>
        </w:rPr>
      </w:pPr>
      <w:r>
        <w:rPr>
          <w:rFonts w:ascii="Arial" w:hAnsi="Arial" w:cs="Arial"/>
          <w:sz w:val="24"/>
          <w:szCs w:val="24"/>
        </w:rPr>
        <w:t xml:space="preserve"> </w:t>
      </w:r>
    </w:p>
    <w:p w14:paraId="63C183C1" w14:textId="77777777" w:rsidR="00C44753" w:rsidRDefault="00C44753" w:rsidP="00C44753">
      <w:pPr>
        <w:rPr>
          <w:rFonts w:ascii="Arial" w:hAnsi="Arial" w:cs="Arial"/>
          <w:sz w:val="24"/>
          <w:szCs w:val="24"/>
        </w:rPr>
      </w:pPr>
    </w:p>
    <w:p w14:paraId="11E8753B" w14:textId="77777777" w:rsidR="00C44753" w:rsidRPr="003B3812" w:rsidRDefault="00C44753" w:rsidP="00C44753">
      <w:pPr>
        <w:contextualSpacing/>
        <w:rPr>
          <w:rFonts w:ascii="Arial" w:hAnsi="Arial" w:cs="Arial"/>
          <w:sz w:val="24"/>
        </w:rPr>
      </w:pPr>
    </w:p>
    <w:p w14:paraId="1DE6246A" w14:textId="77777777" w:rsidR="00A845A9" w:rsidRDefault="00A845A9" w:rsidP="00C44753">
      <w:pPr>
        <w:pStyle w:val="BodyText"/>
        <w:jc w:val="left"/>
      </w:pP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8F21" w14:textId="77777777" w:rsidR="00E177DD" w:rsidRDefault="00E177DD">
      <w:r>
        <w:separator/>
      </w:r>
    </w:p>
  </w:endnote>
  <w:endnote w:type="continuationSeparator" w:id="0">
    <w:p w14:paraId="2B8E2BBF" w14:textId="77777777" w:rsidR="00E177DD" w:rsidRDefault="00E1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A04D"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59B1E"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3F30" w14:textId="36CF1B6B"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963">
      <w:rPr>
        <w:rStyle w:val="PageNumber"/>
        <w:noProof/>
      </w:rPr>
      <w:t>2</w:t>
    </w:r>
    <w:r>
      <w:rPr>
        <w:rStyle w:val="PageNumber"/>
      </w:rPr>
      <w:fldChar w:fldCharType="end"/>
    </w:r>
  </w:p>
  <w:p w14:paraId="08D8BDBA"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5330" w14:textId="61CF6EE1"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F2963">
      <w:rPr>
        <w:rStyle w:val="PageNumber"/>
        <w:rFonts w:ascii="Arial" w:hAnsi="Arial" w:cs="Arial"/>
        <w:noProof/>
        <w:sz w:val="24"/>
        <w:szCs w:val="24"/>
      </w:rPr>
      <w:t>1</w:t>
    </w:r>
    <w:r w:rsidRPr="005D2A41">
      <w:rPr>
        <w:rStyle w:val="PageNumber"/>
        <w:rFonts w:ascii="Arial" w:hAnsi="Arial" w:cs="Arial"/>
        <w:sz w:val="24"/>
        <w:szCs w:val="24"/>
      </w:rPr>
      <w:fldChar w:fldCharType="end"/>
    </w:r>
  </w:p>
  <w:p w14:paraId="120313A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4093" w14:textId="77777777" w:rsidR="00E177DD" w:rsidRDefault="00E177DD">
      <w:r>
        <w:separator/>
      </w:r>
    </w:p>
  </w:footnote>
  <w:footnote w:type="continuationSeparator" w:id="0">
    <w:p w14:paraId="477006D0" w14:textId="77777777" w:rsidR="00E177DD" w:rsidRDefault="00E1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0478" w14:textId="77777777" w:rsidR="0057543A" w:rsidRDefault="0057543A">
    <w:r>
      <w:rPr>
        <w:noProof/>
        <w:lang w:eastAsia="en-GB"/>
      </w:rPr>
      <w:drawing>
        <wp:anchor distT="0" distB="0" distL="114300" distR="114300" simplePos="0" relativeHeight="251657728" behindDoc="1" locked="0" layoutInCell="1" allowOverlap="1" wp14:anchorId="2F1D8C0F" wp14:editId="1B92D5B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EB57AB" w14:textId="77777777" w:rsidR="0057543A" w:rsidRDefault="0057543A">
    <w:pPr>
      <w:pStyle w:val="Header"/>
    </w:pPr>
  </w:p>
  <w:p w14:paraId="6E8F207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B5"/>
    <w:multiLevelType w:val="hybridMultilevel"/>
    <w:tmpl w:val="7DC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63478"/>
    <w:multiLevelType w:val="hybridMultilevel"/>
    <w:tmpl w:val="47B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44753"/>
    <w:rsid w:val="00C64FA5"/>
    <w:rsid w:val="00C84A12"/>
    <w:rsid w:val="00CF3DC5"/>
    <w:rsid w:val="00D017E2"/>
    <w:rsid w:val="00D16D97"/>
    <w:rsid w:val="00D27F42"/>
    <w:rsid w:val="00D84713"/>
    <w:rsid w:val="00DD4B82"/>
    <w:rsid w:val="00DF2963"/>
    <w:rsid w:val="00E1556F"/>
    <w:rsid w:val="00E177DD"/>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8A202"/>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customStyle="1" w:styleId="H1">
    <w:name w:val="H1"/>
    <w:basedOn w:val="Normal"/>
    <w:next w:val="Normal"/>
    <w:rsid w:val="00C44753"/>
    <w:pPr>
      <w:keepNext/>
      <w:spacing w:before="320" w:line="220" w:lineRule="atLeast"/>
      <w:jc w:val="both"/>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A33812177</value>
    </field>
    <field name="Objective-Title">
      <value order="0">12 March 2021 - Written Statement - The Agricultural Products, Food and Drink (Amendment) (EU Exit) Regulations 2020</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2021-03-12T08:43:54Z</value>
    </field>
    <field name="Objective-ModificationStamp">
      <value order="0">2021-03-12T08:43:54Z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vA66885454</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89D7CD-D548-4442-9C03-0889D282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004E2-93AA-460B-B15E-992482ED97A1}">
  <ds:schemaRefs>
    <ds:schemaRef ds:uri="http://schemas.microsoft.com/sharepoint/v3/contenttype/forms"/>
  </ds:schemaRefs>
</ds:datastoreItem>
</file>

<file path=customXml/itemProps4.xml><?xml version="1.0" encoding="utf-8"?>
<ds:datastoreItem xmlns:ds="http://schemas.openxmlformats.org/officeDocument/2006/customXml" ds:itemID="{68498B63-006C-48BF-A112-AE104963AA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2021-03-12T10:15:00Z</dcterms:created>
  <dcterms:modified xsi:type="dcterms:W3CDTF">2021-03-12T10:15:00Z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A33812177</vt:lpwstr>
  </property>
  <property fmtid="{D5CDD505-2E9C-101B-9397-08002B2CF9AE}" pid="4" name="Objective-Title">
    <vt:lpwstr>12 March 2021 - Written Statement - The Agricultural Products, Food and Drink (Amendment) (EU Exit) Regulations 2020</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2021-03-12T08:43:54Z</vt:filetime>
  </property>
  <property fmtid="{D5CDD505-2E9C-101B-9397-08002B2CF9AE}" pid="10" name="Objective-ModificationStamp">
    <vt:filetime>2021-03-12T08:43:54Z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vA66885454</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