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92F" w14:textId="77777777" w:rsidR="001A39E2" w:rsidRDefault="001A39E2" w:rsidP="001A39E2">
      <w:pPr>
        <w:jc w:val="right"/>
        <w:rPr>
          <w:b/>
        </w:rPr>
      </w:pPr>
    </w:p>
    <w:p w14:paraId="6B25E93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B25E94C" wp14:editId="6B25E94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843DA9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B25E93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B25E93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B25E93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B25E93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25E94E" wp14:editId="6B25E9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57081C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B25E9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5E93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7" w14:textId="77777777" w:rsidR="00EA5290" w:rsidRPr="000A238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5E938" w14:textId="38D793A8" w:rsidR="00EA5290" w:rsidRPr="000A2389" w:rsidRDefault="007954E8" w:rsidP="002D18B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Loss of funding to Wales </w:t>
            </w:r>
            <w:proofErr w:type="gramStart"/>
            <w:r w:rsidRPr="000A2389">
              <w:rPr>
                <w:rFonts w:ascii="Arial" w:hAnsi="Arial" w:cs="Arial"/>
                <w:b/>
                <w:bCs/>
                <w:sz w:val="24"/>
                <w:szCs w:val="24"/>
              </w:rPr>
              <w:t>as a result of</w:t>
            </w:r>
            <w:proofErr w:type="gramEnd"/>
            <w:r w:rsidRPr="000A23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UK Government’s arrangements for replacement EU funding</w:t>
            </w:r>
            <w:r w:rsidRPr="000A2389" w:rsidDel="007954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6B25E93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B" w14:textId="023F5DEC" w:rsidR="00EA5290" w:rsidRPr="00670227" w:rsidRDefault="007A318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C0B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="00F80BC0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3D42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3044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D424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6B25E9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5E93E" w14:textId="3E0401DE" w:rsidR="00EA5290" w:rsidRPr="00670227" w:rsidRDefault="0033044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</w:t>
            </w:r>
          </w:p>
        </w:tc>
      </w:tr>
    </w:tbl>
    <w:p w14:paraId="58EB6E03" w14:textId="77777777" w:rsidR="006A1FBE" w:rsidRDefault="006A1FBE" w:rsidP="003B166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A36D12E" w14:textId="43B5F0BC" w:rsidR="00CA0EC2" w:rsidRDefault="006A1FBE" w:rsidP="00BF17C2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 w:rsidRPr="006A1FBE">
        <w:rPr>
          <w:rFonts w:ascii="Arial" w:hAnsi="Arial" w:cs="Arial"/>
          <w:color w:val="1F1F1F"/>
          <w:sz w:val="24"/>
          <w:szCs w:val="24"/>
          <w:shd w:val="clear" w:color="auto" w:fill="FFFFFF"/>
        </w:rPr>
        <w:t>On 13 April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2022</w:t>
      </w:r>
      <w:r w:rsidRPr="006A1FB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the UK Government published plans for the </w:t>
      </w:r>
      <w:r w:rsidR="00370319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UK </w:t>
      </w:r>
      <w:r w:rsidRPr="006A1FBE">
        <w:rPr>
          <w:rFonts w:ascii="Arial" w:hAnsi="Arial" w:cs="Arial"/>
          <w:color w:val="1F1F1F"/>
          <w:sz w:val="24"/>
          <w:szCs w:val="24"/>
          <w:shd w:val="clear" w:color="auto" w:fill="FFFFFF"/>
        </w:rPr>
        <w:t>Shared Prosperity Fund (</w:t>
      </w:r>
      <w:r w:rsidR="00370319">
        <w:rPr>
          <w:rFonts w:ascii="Arial" w:hAnsi="Arial" w:cs="Arial"/>
          <w:color w:val="1F1F1F"/>
          <w:sz w:val="24"/>
          <w:szCs w:val="24"/>
          <w:shd w:val="clear" w:color="auto" w:fill="FFFFFF"/>
        </w:rPr>
        <w:t>UK</w:t>
      </w:r>
      <w:r w:rsidRPr="006A1FB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SPF), which replaces </w:t>
      </w:r>
      <w:r w:rsidR="00016BE8" w:rsidRPr="00016BE8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European Regional Development and European Social Fund</w:t>
      </w:r>
      <w:r w:rsidR="00466DAA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Pr="006A1FBE">
        <w:rPr>
          <w:rFonts w:ascii="Arial" w:hAnsi="Arial" w:cs="Arial"/>
          <w:color w:val="1F1F1F"/>
          <w:sz w:val="24"/>
          <w:szCs w:val="24"/>
          <w:shd w:val="clear" w:color="auto" w:fill="FFFFFF"/>
        </w:rPr>
        <w:t>. I want to update Members on the</w:t>
      </w:r>
      <w:r w:rsidR="00793A2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funding</w:t>
      </w:r>
      <w:r w:rsidRPr="006A1FB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implications of this announcement</w:t>
      </w:r>
      <w:r w:rsidR="00793A2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for Wales</w:t>
      </w:r>
      <w:r w:rsidRPr="006A1FBE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p w14:paraId="35E1463F" w14:textId="7BC8A5BE" w:rsidR="00296E70" w:rsidRDefault="00296E70" w:rsidP="00BF17C2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22A9433" w14:textId="77777777" w:rsidR="00762646" w:rsidRDefault="00A80FEB" w:rsidP="00BF1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UK Government has f</w:t>
      </w:r>
      <w:r w:rsidRPr="00173EAA">
        <w:rPr>
          <w:rFonts w:ascii="Arial" w:hAnsi="Arial" w:cs="Arial"/>
          <w:sz w:val="24"/>
          <w:szCs w:val="24"/>
        </w:rPr>
        <w:t>ailed to honour repeated promises that Wales would not be a penny worse off at the same time as</w:t>
      </w:r>
      <w:r>
        <w:rPr>
          <w:rFonts w:ascii="Arial" w:hAnsi="Arial" w:cs="Arial"/>
          <w:sz w:val="24"/>
          <w:szCs w:val="24"/>
        </w:rPr>
        <w:t xml:space="preserve"> deliberately overriding Welsh devolution.</w:t>
      </w:r>
      <w:r w:rsidR="00762646">
        <w:rPr>
          <w:rFonts w:ascii="Arial" w:hAnsi="Arial" w:cs="Arial"/>
          <w:sz w:val="24"/>
          <w:szCs w:val="24"/>
        </w:rPr>
        <w:t xml:space="preserve"> </w:t>
      </w:r>
    </w:p>
    <w:p w14:paraId="143F0915" w14:textId="77777777" w:rsidR="00762646" w:rsidRDefault="00762646" w:rsidP="00BF17C2">
      <w:pPr>
        <w:rPr>
          <w:rFonts w:ascii="Arial" w:hAnsi="Arial" w:cs="Arial"/>
          <w:sz w:val="24"/>
          <w:szCs w:val="24"/>
        </w:rPr>
      </w:pPr>
    </w:p>
    <w:p w14:paraId="231BEF5E" w14:textId="755D3820" w:rsidR="00C51809" w:rsidRDefault="00C51809" w:rsidP="00BF1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UK Government had a clear manifesto pledge in the 2019 election </w:t>
      </w:r>
      <w:r w:rsidRPr="00173EAA">
        <w:rPr>
          <w:rFonts w:ascii="Arial" w:hAnsi="Arial" w:cs="Arial"/>
          <w:sz w:val="24"/>
          <w:szCs w:val="24"/>
        </w:rPr>
        <w:t xml:space="preserve">to replace and </w:t>
      </w:r>
      <w:r>
        <w:rPr>
          <w:rFonts w:ascii="Arial" w:hAnsi="Arial" w:cs="Arial"/>
          <w:sz w:val="24"/>
          <w:szCs w:val="24"/>
        </w:rPr>
        <w:t>“</w:t>
      </w:r>
      <w:r w:rsidRPr="00173EAA">
        <w:rPr>
          <w:rFonts w:ascii="Arial" w:hAnsi="Arial" w:cs="Arial"/>
          <w:sz w:val="24"/>
          <w:szCs w:val="24"/>
        </w:rPr>
        <w:t>at a minimum match the size</w:t>
      </w:r>
      <w:r>
        <w:rPr>
          <w:rFonts w:ascii="Arial" w:hAnsi="Arial" w:cs="Arial"/>
          <w:sz w:val="24"/>
          <w:szCs w:val="24"/>
        </w:rPr>
        <w:t>”</w:t>
      </w:r>
      <w:r w:rsidRPr="00173EAA">
        <w:rPr>
          <w:rFonts w:ascii="Arial" w:hAnsi="Arial" w:cs="Arial"/>
          <w:sz w:val="24"/>
          <w:szCs w:val="24"/>
        </w:rPr>
        <w:t xml:space="preserve"> of former EU funding in each nation of the UK.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37AB1A" w14:textId="77777777" w:rsidR="00C51809" w:rsidRDefault="00C51809" w:rsidP="00BF17C2">
      <w:pPr>
        <w:rPr>
          <w:rFonts w:ascii="Arial" w:hAnsi="Arial" w:cs="Arial"/>
          <w:sz w:val="24"/>
          <w:szCs w:val="24"/>
        </w:rPr>
      </w:pPr>
    </w:p>
    <w:p w14:paraId="3249616E" w14:textId="106CF6BE" w:rsidR="00BF17C2" w:rsidRDefault="00CA0EC2" w:rsidP="00BF1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calculation </w:t>
      </w:r>
      <w:r w:rsidR="00296E70">
        <w:rPr>
          <w:rFonts w:ascii="Arial" w:hAnsi="Arial" w:cs="Arial"/>
          <w:sz w:val="24"/>
          <w:szCs w:val="24"/>
        </w:rPr>
        <w:t xml:space="preserve">we have </w:t>
      </w:r>
      <w:r>
        <w:rPr>
          <w:rFonts w:ascii="Arial" w:hAnsi="Arial" w:cs="Arial"/>
          <w:sz w:val="24"/>
          <w:szCs w:val="24"/>
        </w:rPr>
        <w:t xml:space="preserve">used to </w:t>
      </w:r>
      <w:r w:rsidR="005807AA">
        <w:rPr>
          <w:rFonts w:ascii="Arial" w:hAnsi="Arial" w:cs="Arial"/>
          <w:sz w:val="24"/>
          <w:szCs w:val="24"/>
        </w:rPr>
        <w:t xml:space="preserve">demonstrate the </w:t>
      </w:r>
      <w:r w:rsidR="005807AA">
        <w:rPr>
          <w:rFonts w:ascii="Arial" w:hAnsi="Arial" w:cs="Arial"/>
          <w:bCs/>
          <w:sz w:val="24"/>
          <w:szCs w:val="24"/>
        </w:rPr>
        <w:t xml:space="preserve">dramatic reduction in the funds Wales would have received had the UK Government delivered its pledge </w:t>
      </w:r>
      <w:r w:rsidR="00BF17C2">
        <w:rPr>
          <w:rFonts w:ascii="Arial" w:hAnsi="Arial" w:cs="Arial"/>
          <w:sz w:val="24"/>
          <w:szCs w:val="24"/>
        </w:rPr>
        <w:t xml:space="preserve">follows the methodology used by the UK Government in relation to the </w:t>
      </w:r>
      <w:r>
        <w:rPr>
          <w:rFonts w:ascii="Arial" w:hAnsi="Arial" w:cs="Arial"/>
          <w:sz w:val="24"/>
          <w:szCs w:val="24"/>
        </w:rPr>
        <w:t>UK</w:t>
      </w:r>
      <w:r w:rsidR="00D622DC">
        <w:rPr>
          <w:rFonts w:ascii="Arial" w:hAnsi="Arial" w:cs="Arial"/>
          <w:sz w:val="24"/>
          <w:szCs w:val="24"/>
        </w:rPr>
        <w:t>SPF</w:t>
      </w:r>
      <w:r w:rsidR="00BF17C2">
        <w:rPr>
          <w:rFonts w:ascii="Arial" w:hAnsi="Arial" w:cs="Arial"/>
          <w:sz w:val="24"/>
          <w:szCs w:val="24"/>
        </w:rPr>
        <w:t>.</w:t>
      </w:r>
    </w:p>
    <w:p w14:paraId="21BD0D90" w14:textId="77777777" w:rsidR="006A1FBE" w:rsidRDefault="006A1FBE" w:rsidP="006A1FBE">
      <w:pPr>
        <w:rPr>
          <w:rFonts w:ascii="Arial" w:hAnsi="Arial" w:cs="Arial"/>
          <w:sz w:val="24"/>
          <w:szCs w:val="24"/>
        </w:rPr>
      </w:pPr>
    </w:p>
    <w:p w14:paraId="6F52E93C" w14:textId="024E34B3" w:rsidR="00375B8A" w:rsidRDefault="004560F1" w:rsidP="006A1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EU </w:t>
      </w:r>
      <w:r w:rsidR="007E06F1">
        <w:rPr>
          <w:rFonts w:ascii="Arial" w:hAnsi="Arial" w:cs="Arial"/>
          <w:sz w:val="24"/>
          <w:szCs w:val="24"/>
        </w:rPr>
        <w:t xml:space="preserve">Regional Development and Social Funds </w:t>
      </w:r>
      <w:r w:rsidR="001E7842">
        <w:rPr>
          <w:rFonts w:ascii="Arial" w:hAnsi="Arial" w:cs="Arial"/>
          <w:sz w:val="24"/>
          <w:szCs w:val="24"/>
        </w:rPr>
        <w:t>would have been</w:t>
      </w:r>
      <w:r w:rsidR="007E06F1">
        <w:rPr>
          <w:rFonts w:ascii="Arial" w:hAnsi="Arial" w:cs="Arial"/>
          <w:sz w:val="24"/>
          <w:szCs w:val="24"/>
        </w:rPr>
        <w:t xml:space="preserve"> worth £</w:t>
      </w:r>
      <w:r w:rsidR="001E7842">
        <w:rPr>
          <w:rFonts w:ascii="Arial" w:hAnsi="Arial" w:cs="Arial"/>
          <w:sz w:val="24"/>
          <w:szCs w:val="24"/>
        </w:rPr>
        <w:t>1</w:t>
      </w:r>
      <w:r w:rsidR="00375B8A">
        <w:rPr>
          <w:rFonts w:ascii="Arial" w:hAnsi="Arial" w:cs="Arial"/>
          <w:sz w:val="24"/>
          <w:szCs w:val="24"/>
        </w:rPr>
        <w:t>.</w:t>
      </w:r>
      <w:r w:rsidR="00950677">
        <w:rPr>
          <w:rFonts w:ascii="Arial" w:hAnsi="Arial" w:cs="Arial"/>
          <w:sz w:val="24"/>
          <w:szCs w:val="24"/>
        </w:rPr>
        <w:t>40</w:t>
      </w:r>
      <w:r w:rsidR="006478EC">
        <w:rPr>
          <w:rFonts w:ascii="Arial" w:hAnsi="Arial" w:cs="Arial"/>
          <w:sz w:val="24"/>
          <w:szCs w:val="24"/>
        </w:rPr>
        <w:t>4</w:t>
      </w:r>
      <w:r w:rsidR="00375B8A">
        <w:rPr>
          <w:rFonts w:ascii="Arial" w:hAnsi="Arial" w:cs="Arial"/>
          <w:sz w:val="24"/>
          <w:szCs w:val="24"/>
        </w:rPr>
        <w:t>bn</w:t>
      </w:r>
      <w:r w:rsidR="007E06F1">
        <w:rPr>
          <w:rFonts w:ascii="Arial" w:hAnsi="Arial" w:cs="Arial"/>
          <w:sz w:val="24"/>
          <w:szCs w:val="24"/>
        </w:rPr>
        <w:t xml:space="preserve"> </w:t>
      </w:r>
      <w:r w:rsidR="00375B8A">
        <w:rPr>
          <w:rFonts w:ascii="Arial" w:hAnsi="Arial" w:cs="Arial"/>
          <w:sz w:val="24"/>
          <w:szCs w:val="24"/>
        </w:rPr>
        <w:t xml:space="preserve">for the </w:t>
      </w:r>
      <w:r w:rsidR="00950677">
        <w:rPr>
          <w:rFonts w:ascii="Arial" w:hAnsi="Arial" w:cs="Arial"/>
          <w:sz w:val="24"/>
          <w:szCs w:val="24"/>
        </w:rPr>
        <w:t xml:space="preserve">period </w:t>
      </w:r>
      <w:r w:rsidR="00950677" w:rsidRPr="00A76AE1">
        <w:rPr>
          <w:rFonts w:ascii="Arial" w:hAnsi="Arial" w:cs="Arial"/>
          <w:sz w:val="24"/>
          <w:szCs w:val="24"/>
        </w:rPr>
        <w:t>Jan</w:t>
      </w:r>
      <w:r w:rsidR="00370319" w:rsidRPr="00A76AE1">
        <w:rPr>
          <w:rFonts w:ascii="Arial" w:hAnsi="Arial" w:cs="Arial"/>
          <w:sz w:val="24"/>
          <w:szCs w:val="24"/>
        </w:rPr>
        <w:t>uary</w:t>
      </w:r>
      <w:r w:rsidR="00950677" w:rsidRPr="00A76AE1">
        <w:rPr>
          <w:rFonts w:ascii="Arial" w:hAnsi="Arial" w:cs="Arial"/>
          <w:sz w:val="24"/>
          <w:szCs w:val="24"/>
        </w:rPr>
        <w:t xml:space="preserve"> </w:t>
      </w:r>
      <w:r w:rsidR="00114467" w:rsidRPr="00A76AE1">
        <w:rPr>
          <w:rFonts w:ascii="Arial" w:hAnsi="Arial" w:cs="Arial"/>
          <w:sz w:val="24"/>
          <w:szCs w:val="24"/>
        </w:rPr>
        <w:t>202</w:t>
      </w:r>
      <w:r w:rsidR="00EA265D" w:rsidRPr="00A76AE1">
        <w:rPr>
          <w:rFonts w:ascii="Arial" w:hAnsi="Arial" w:cs="Arial"/>
          <w:sz w:val="24"/>
          <w:szCs w:val="24"/>
        </w:rPr>
        <w:t>1</w:t>
      </w:r>
      <w:r w:rsidR="001E7842" w:rsidRPr="00A76AE1">
        <w:rPr>
          <w:rFonts w:ascii="Arial" w:hAnsi="Arial" w:cs="Arial"/>
          <w:sz w:val="24"/>
          <w:szCs w:val="24"/>
        </w:rPr>
        <w:t xml:space="preserve"> to </w:t>
      </w:r>
      <w:r w:rsidR="00114467" w:rsidRPr="00A76AE1">
        <w:rPr>
          <w:rFonts w:ascii="Arial" w:hAnsi="Arial" w:cs="Arial"/>
          <w:sz w:val="24"/>
          <w:szCs w:val="24"/>
        </w:rPr>
        <w:t>March 202</w:t>
      </w:r>
      <w:r w:rsidR="00EA265D" w:rsidRPr="00A76AE1">
        <w:rPr>
          <w:rFonts w:ascii="Arial" w:hAnsi="Arial" w:cs="Arial"/>
          <w:sz w:val="24"/>
          <w:szCs w:val="24"/>
        </w:rPr>
        <w:t>5</w:t>
      </w:r>
      <w:r w:rsidR="00375B8A">
        <w:rPr>
          <w:rFonts w:ascii="Arial" w:hAnsi="Arial" w:cs="Arial"/>
          <w:sz w:val="24"/>
          <w:szCs w:val="24"/>
        </w:rPr>
        <w:t>,</w:t>
      </w:r>
      <w:r w:rsidR="001E7842">
        <w:rPr>
          <w:rFonts w:ascii="Arial" w:hAnsi="Arial" w:cs="Arial"/>
          <w:sz w:val="24"/>
          <w:szCs w:val="24"/>
        </w:rPr>
        <w:t xml:space="preserve"> </w:t>
      </w:r>
      <w:r w:rsidR="00B7223F">
        <w:rPr>
          <w:rFonts w:ascii="Arial" w:hAnsi="Arial" w:cs="Arial"/>
          <w:sz w:val="24"/>
          <w:szCs w:val="24"/>
        </w:rPr>
        <w:t>allowing for inflation</w:t>
      </w:r>
      <w:r w:rsidR="00DE6265">
        <w:rPr>
          <w:rFonts w:ascii="Arial" w:hAnsi="Arial" w:cs="Arial"/>
          <w:sz w:val="24"/>
          <w:szCs w:val="24"/>
        </w:rPr>
        <w:t xml:space="preserve"> and exchange rates</w:t>
      </w:r>
      <w:r w:rsidR="00A85A51">
        <w:rPr>
          <w:rFonts w:ascii="Arial" w:hAnsi="Arial" w:cs="Arial"/>
          <w:sz w:val="24"/>
          <w:szCs w:val="24"/>
        </w:rPr>
        <w:t xml:space="preserve"> in the same </w:t>
      </w:r>
      <w:r w:rsidR="001E7842">
        <w:rPr>
          <w:rFonts w:ascii="Arial" w:hAnsi="Arial" w:cs="Arial"/>
          <w:sz w:val="24"/>
          <w:szCs w:val="24"/>
        </w:rPr>
        <w:t xml:space="preserve">way as the UK Government has </w:t>
      </w:r>
      <w:r w:rsidR="00987560">
        <w:rPr>
          <w:rFonts w:ascii="Arial" w:hAnsi="Arial" w:cs="Arial"/>
          <w:sz w:val="24"/>
          <w:szCs w:val="24"/>
        </w:rPr>
        <w:t xml:space="preserve">when calculating </w:t>
      </w:r>
      <w:r w:rsidR="00CA0EC2">
        <w:rPr>
          <w:rFonts w:ascii="Arial" w:hAnsi="Arial" w:cs="Arial"/>
          <w:sz w:val="24"/>
          <w:szCs w:val="24"/>
        </w:rPr>
        <w:t xml:space="preserve">the level of </w:t>
      </w:r>
      <w:r w:rsidR="00154415">
        <w:rPr>
          <w:rFonts w:ascii="Arial" w:hAnsi="Arial" w:cs="Arial"/>
          <w:sz w:val="24"/>
          <w:szCs w:val="24"/>
        </w:rPr>
        <w:t>UK</w:t>
      </w:r>
      <w:r w:rsidR="001E7842">
        <w:rPr>
          <w:rFonts w:ascii="Arial" w:hAnsi="Arial" w:cs="Arial"/>
          <w:sz w:val="24"/>
          <w:szCs w:val="24"/>
        </w:rPr>
        <w:t>SPF</w:t>
      </w:r>
      <w:r w:rsidR="00987560">
        <w:rPr>
          <w:rFonts w:ascii="Arial" w:hAnsi="Arial" w:cs="Arial"/>
          <w:sz w:val="24"/>
          <w:szCs w:val="24"/>
        </w:rPr>
        <w:t xml:space="preserve"> funding </w:t>
      </w:r>
      <w:r w:rsidR="00CA0EC2">
        <w:rPr>
          <w:rFonts w:ascii="Arial" w:hAnsi="Arial" w:cs="Arial"/>
          <w:sz w:val="24"/>
          <w:szCs w:val="24"/>
        </w:rPr>
        <w:t>to be allocated to Wales</w:t>
      </w:r>
      <w:r w:rsidR="001E7842">
        <w:rPr>
          <w:rFonts w:ascii="Arial" w:hAnsi="Arial" w:cs="Arial"/>
          <w:sz w:val="24"/>
          <w:szCs w:val="24"/>
        </w:rPr>
        <w:t>.</w:t>
      </w:r>
      <w:r w:rsidR="007E06F1">
        <w:rPr>
          <w:rFonts w:ascii="Arial" w:hAnsi="Arial" w:cs="Arial"/>
          <w:sz w:val="24"/>
          <w:szCs w:val="24"/>
        </w:rPr>
        <w:t xml:space="preserve"> </w:t>
      </w:r>
    </w:p>
    <w:p w14:paraId="68E8E566" w14:textId="77777777" w:rsidR="00375B8A" w:rsidRDefault="00375B8A" w:rsidP="006A1FBE">
      <w:pPr>
        <w:rPr>
          <w:rFonts w:ascii="Arial" w:hAnsi="Arial" w:cs="Arial"/>
          <w:sz w:val="24"/>
          <w:szCs w:val="24"/>
        </w:rPr>
      </w:pPr>
    </w:p>
    <w:p w14:paraId="46E46843" w14:textId="3511E83B" w:rsidR="006A1FBE" w:rsidRDefault="006A1FBE" w:rsidP="006A1FBE">
      <w:pPr>
        <w:rPr>
          <w:rFonts w:ascii="Arial" w:hAnsi="Arial" w:cs="Arial"/>
          <w:sz w:val="24"/>
          <w:szCs w:val="24"/>
        </w:rPr>
      </w:pPr>
      <w:r w:rsidRPr="006F5169">
        <w:rPr>
          <w:rFonts w:ascii="Arial" w:hAnsi="Arial" w:cs="Arial"/>
          <w:sz w:val="24"/>
          <w:szCs w:val="24"/>
        </w:rPr>
        <w:t xml:space="preserve">This </w:t>
      </w:r>
      <w:r w:rsidR="00D513AC">
        <w:rPr>
          <w:rFonts w:ascii="Arial" w:hAnsi="Arial" w:cs="Arial"/>
          <w:sz w:val="24"/>
          <w:szCs w:val="24"/>
        </w:rPr>
        <w:t xml:space="preserve">funding </w:t>
      </w:r>
      <w:r w:rsidRPr="006F5169">
        <w:rPr>
          <w:rFonts w:ascii="Arial" w:hAnsi="Arial" w:cs="Arial"/>
          <w:sz w:val="24"/>
          <w:szCs w:val="24"/>
        </w:rPr>
        <w:t>would be additional to</w:t>
      </w:r>
      <w:r w:rsidR="003763B1">
        <w:rPr>
          <w:rFonts w:ascii="Arial" w:hAnsi="Arial" w:cs="Arial"/>
          <w:sz w:val="24"/>
          <w:szCs w:val="24"/>
        </w:rPr>
        <w:t xml:space="preserve"> </w:t>
      </w:r>
      <w:r w:rsidR="00D513AC">
        <w:rPr>
          <w:rFonts w:ascii="Arial" w:hAnsi="Arial" w:cs="Arial"/>
          <w:sz w:val="24"/>
          <w:szCs w:val="24"/>
        </w:rPr>
        <w:t xml:space="preserve">the receipts that are owed </w:t>
      </w:r>
      <w:r w:rsidR="00EA030E">
        <w:rPr>
          <w:rFonts w:ascii="Arial" w:hAnsi="Arial" w:cs="Arial"/>
          <w:sz w:val="24"/>
          <w:szCs w:val="24"/>
        </w:rPr>
        <w:t xml:space="preserve">from </w:t>
      </w:r>
      <w:r w:rsidR="00D513AC">
        <w:rPr>
          <w:rFonts w:ascii="Arial" w:hAnsi="Arial" w:cs="Arial"/>
          <w:sz w:val="24"/>
          <w:szCs w:val="24"/>
        </w:rPr>
        <w:t>the Welsh Government</w:t>
      </w:r>
      <w:r w:rsidR="00EA030E">
        <w:rPr>
          <w:rFonts w:ascii="Arial" w:hAnsi="Arial" w:cs="Arial"/>
          <w:sz w:val="24"/>
          <w:szCs w:val="24"/>
        </w:rPr>
        <w:t>’s</w:t>
      </w:r>
      <w:r w:rsidR="00D513AC">
        <w:rPr>
          <w:rFonts w:ascii="Arial" w:hAnsi="Arial" w:cs="Arial"/>
          <w:sz w:val="24"/>
          <w:szCs w:val="24"/>
        </w:rPr>
        <w:t xml:space="preserve"> commitment of funding to projects in previous years through </w:t>
      </w:r>
      <w:r w:rsidR="000724AD">
        <w:rPr>
          <w:rFonts w:ascii="Arial" w:hAnsi="Arial" w:cs="Arial"/>
          <w:sz w:val="24"/>
          <w:szCs w:val="24"/>
        </w:rPr>
        <w:t>the 2014-2020 EU Multiannual Financial Framework</w:t>
      </w:r>
      <w:r w:rsidRPr="006F5169">
        <w:rPr>
          <w:rFonts w:ascii="Arial" w:hAnsi="Arial" w:cs="Arial"/>
          <w:sz w:val="24"/>
          <w:szCs w:val="24"/>
        </w:rPr>
        <w:t>.</w:t>
      </w:r>
    </w:p>
    <w:p w14:paraId="7BC4CCBB" w14:textId="47EF2941" w:rsidR="006F5169" w:rsidRDefault="006F5169" w:rsidP="006A1FBE">
      <w:pPr>
        <w:rPr>
          <w:rFonts w:ascii="Arial" w:hAnsi="Arial" w:cs="Arial"/>
          <w:sz w:val="24"/>
          <w:szCs w:val="24"/>
        </w:rPr>
      </w:pPr>
    </w:p>
    <w:p w14:paraId="5281353C" w14:textId="2467F1AF" w:rsidR="006A1FBE" w:rsidRDefault="006A1FBE" w:rsidP="006A1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Chancellor confirmed the </w:t>
      </w:r>
      <w:r w:rsidRPr="006F5169">
        <w:rPr>
          <w:rFonts w:ascii="Arial" w:hAnsi="Arial" w:cs="Arial"/>
          <w:sz w:val="24"/>
          <w:szCs w:val="24"/>
        </w:rPr>
        <w:t>UK-wide</w:t>
      </w:r>
      <w:r>
        <w:rPr>
          <w:rFonts w:ascii="Arial" w:hAnsi="Arial" w:cs="Arial"/>
          <w:sz w:val="24"/>
          <w:szCs w:val="24"/>
        </w:rPr>
        <w:t xml:space="preserve"> spending profiles </w:t>
      </w:r>
      <w:r w:rsidR="00375B8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the </w:t>
      </w:r>
      <w:r w:rsidR="004560F1">
        <w:rPr>
          <w:rFonts w:ascii="Arial" w:hAnsi="Arial" w:cs="Arial"/>
          <w:sz w:val="24"/>
          <w:szCs w:val="24"/>
        </w:rPr>
        <w:t>UK</w:t>
      </w:r>
      <w:r w:rsidR="009C71C0">
        <w:rPr>
          <w:rFonts w:ascii="Arial" w:hAnsi="Arial" w:cs="Arial"/>
          <w:sz w:val="24"/>
          <w:szCs w:val="24"/>
        </w:rPr>
        <w:t>SPF</w:t>
      </w:r>
      <w:r>
        <w:rPr>
          <w:rFonts w:ascii="Arial" w:hAnsi="Arial" w:cs="Arial"/>
          <w:sz w:val="24"/>
          <w:szCs w:val="24"/>
        </w:rPr>
        <w:t> during the 27 October 2021 Spending Review. They are:</w:t>
      </w:r>
    </w:p>
    <w:p w14:paraId="41E42393" w14:textId="77777777" w:rsidR="006A1FBE" w:rsidRDefault="006A1FBE" w:rsidP="006A1FB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2022-23 - £400m</w:t>
      </w:r>
    </w:p>
    <w:p w14:paraId="6835A401" w14:textId="77777777" w:rsidR="006A1FBE" w:rsidRDefault="006A1FBE" w:rsidP="006A1FB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2023-24 - £700m</w:t>
      </w:r>
    </w:p>
    <w:p w14:paraId="6CE19FE4" w14:textId="77777777" w:rsidR="006A1FBE" w:rsidRDefault="006A1FBE" w:rsidP="006A1FBE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2024-25 - £1.5bn</w:t>
      </w:r>
    </w:p>
    <w:p w14:paraId="6990A21E" w14:textId="3382B1A2" w:rsidR="005807AA" w:rsidRDefault="00342400" w:rsidP="00077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="008A3404">
        <w:rPr>
          <w:rFonts w:ascii="Arial" w:hAnsi="Arial" w:cs="Arial"/>
          <w:sz w:val="24"/>
          <w:szCs w:val="24"/>
        </w:rPr>
        <w:t xml:space="preserve">he UK Government </w:t>
      </w:r>
      <w:r>
        <w:rPr>
          <w:rFonts w:ascii="Arial" w:hAnsi="Arial" w:cs="Arial"/>
          <w:sz w:val="24"/>
          <w:szCs w:val="24"/>
        </w:rPr>
        <w:t xml:space="preserve">has now </w:t>
      </w:r>
      <w:r w:rsidR="006A1FBE">
        <w:rPr>
          <w:rFonts w:ascii="Arial" w:hAnsi="Arial" w:cs="Arial"/>
          <w:sz w:val="24"/>
          <w:szCs w:val="24"/>
        </w:rPr>
        <w:t>confirmed Wales</w:t>
      </w:r>
      <w:r w:rsidR="006079AF">
        <w:rPr>
          <w:rFonts w:ascii="Arial" w:hAnsi="Arial" w:cs="Arial"/>
          <w:sz w:val="24"/>
          <w:szCs w:val="24"/>
        </w:rPr>
        <w:t xml:space="preserve"> will receive £</w:t>
      </w:r>
      <w:r w:rsidR="00077937">
        <w:rPr>
          <w:rFonts w:ascii="Arial" w:hAnsi="Arial" w:cs="Arial"/>
          <w:sz w:val="24"/>
          <w:szCs w:val="24"/>
        </w:rPr>
        <w:t>58</w:t>
      </w:r>
      <w:r w:rsidR="00987560">
        <w:rPr>
          <w:rFonts w:ascii="Arial" w:hAnsi="Arial" w:cs="Arial"/>
          <w:sz w:val="24"/>
          <w:szCs w:val="24"/>
        </w:rPr>
        <w:t>5</w:t>
      </w:r>
      <w:r w:rsidR="006079AF">
        <w:rPr>
          <w:rFonts w:ascii="Arial" w:hAnsi="Arial" w:cs="Arial"/>
          <w:sz w:val="24"/>
          <w:szCs w:val="24"/>
        </w:rPr>
        <w:t>m</w:t>
      </w:r>
      <w:r w:rsidR="009C71C0">
        <w:rPr>
          <w:rFonts w:ascii="Arial" w:hAnsi="Arial" w:cs="Arial"/>
          <w:sz w:val="24"/>
          <w:szCs w:val="24"/>
        </w:rPr>
        <w:t xml:space="preserve"> through the UKSPF. </w:t>
      </w:r>
      <w:r w:rsidR="006079AF">
        <w:rPr>
          <w:rFonts w:ascii="Arial" w:hAnsi="Arial" w:cs="Arial"/>
          <w:sz w:val="24"/>
          <w:szCs w:val="24"/>
        </w:rPr>
        <w:t xml:space="preserve">This </w:t>
      </w:r>
      <w:r w:rsidR="00077937">
        <w:rPr>
          <w:rFonts w:ascii="Arial" w:hAnsi="Arial" w:cs="Arial"/>
          <w:sz w:val="24"/>
          <w:szCs w:val="24"/>
        </w:rPr>
        <w:t xml:space="preserve">includes </w:t>
      </w:r>
      <w:r w:rsidR="008A3404">
        <w:rPr>
          <w:rFonts w:ascii="Arial" w:hAnsi="Arial" w:cs="Arial"/>
          <w:sz w:val="24"/>
          <w:szCs w:val="24"/>
        </w:rPr>
        <w:t xml:space="preserve">£101m </w:t>
      </w:r>
      <w:r w:rsidR="006079AF">
        <w:rPr>
          <w:rFonts w:ascii="Arial" w:hAnsi="Arial" w:cs="Arial"/>
          <w:sz w:val="24"/>
          <w:szCs w:val="24"/>
        </w:rPr>
        <w:t xml:space="preserve">which is being </w:t>
      </w:r>
      <w:proofErr w:type="gramStart"/>
      <w:r w:rsidR="006079AF">
        <w:rPr>
          <w:rFonts w:ascii="Arial" w:hAnsi="Arial" w:cs="Arial"/>
          <w:sz w:val="24"/>
          <w:szCs w:val="24"/>
        </w:rPr>
        <w:t>top-sliced</w:t>
      </w:r>
      <w:proofErr w:type="gramEnd"/>
      <w:r w:rsidR="006079AF">
        <w:rPr>
          <w:rFonts w:ascii="Arial" w:hAnsi="Arial" w:cs="Arial"/>
          <w:sz w:val="24"/>
          <w:szCs w:val="24"/>
        </w:rPr>
        <w:t xml:space="preserve"> </w:t>
      </w:r>
      <w:r w:rsidR="009C71C0">
        <w:rPr>
          <w:rFonts w:ascii="Arial" w:hAnsi="Arial" w:cs="Arial"/>
          <w:sz w:val="24"/>
          <w:szCs w:val="24"/>
        </w:rPr>
        <w:t xml:space="preserve">by the UK Government </w:t>
      </w:r>
      <w:r w:rsidR="006079AF">
        <w:rPr>
          <w:rFonts w:ascii="Arial" w:hAnsi="Arial" w:cs="Arial"/>
          <w:sz w:val="24"/>
          <w:szCs w:val="24"/>
        </w:rPr>
        <w:t xml:space="preserve">to support the UK Government’s Department for Education priority </w:t>
      </w:r>
      <w:r w:rsidR="009C71C0">
        <w:rPr>
          <w:rFonts w:ascii="Arial" w:hAnsi="Arial" w:cs="Arial"/>
          <w:sz w:val="24"/>
          <w:szCs w:val="24"/>
        </w:rPr>
        <w:t xml:space="preserve">to deliver </w:t>
      </w:r>
      <w:r w:rsidR="006079AF">
        <w:rPr>
          <w:rFonts w:ascii="Arial" w:hAnsi="Arial" w:cs="Arial"/>
          <w:sz w:val="24"/>
          <w:szCs w:val="24"/>
        </w:rPr>
        <w:t xml:space="preserve">an </w:t>
      </w:r>
      <w:r w:rsidR="006A1FBE">
        <w:rPr>
          <w:rFonts w:ascii="Arial" w:hAnsi="Arial" w:cs="Arial"/>
          <w:sz w:val="24"/>
          <w:szCs w:val="24"/>
        </w:rPr>
        <w:t xml:space="preserve">adult numeracy programme </w:t>
      </w:r>
      <w:r w:rsidR="006079AF">
        <w:rPr>
          <w:rFonts w:ascii="Arial" w:hAnsi="Arial" w:cs="Arial"/>
          <w:sz w:val="24"/>
          <w:szCs w:val="24"/>
        </w:rPr>
        <w:t xml:space="preserve">called </w:t>
      </w:r>
      <w:r w:rsidR="006A1FBE">
        <w:rPr>
          <w:rFonts w:ascii="Arial" w:hAnsi="Arial" w:cs="Arial"/>
          <w:sz w:val="24"/>
          <w:szCs w:val="24"/>
        </w:rPr>
        <w:t>Multiply</w:t>
      </w:r>
      <w:r w:rsidR="005807AA">
        <w:rPr>
          <w:rFonts w:ascii="Arial" w:hAnsi="Arial" w:cs="Arial"/>
          <w:sz w:val="24"/>
          <w:szCs w:val="24"/>
        </w:rPr>
        <w:t>, for which we have serious concerns</w:t>
      </w:r>
      <w:r w:rsidR="000573E0">
        <w:rPr>
          <w:rFonts w:ascii="Arial" w:hAnsi="Arial" w:cs="Arial"/>
          <w:sz w:val="24"/>
          <w:szCs w:val="24"/>
        </w:rPr>
        <w:t>.</w:t>
      </w:r>
      <w:r w:rsidR="005807AA">
        <w:rPr>
          <w:rFonts w:ascii="Arial" w:hAnsi="Arial" w:cs="Arial"/>
          <w:sz w:val="24"/>
          <w:szCs w:val="24"/>
        </w:rPr>
        <w:t xml:space="preserve"> </w:t>
      </w:r>
      <w:r w:rsidR="00375B8A">
        <w:rPr>
          <w:rFonts w:ascii="Arial" w:hAnsi="Arial" w:cs="Arial"/>
          <w:sz w:val="24"/>
          <w:szCs w:val="24"/>
        </w:rPr>
        <w:t xml:space="preserve">This </w:t>
      </w:r>
      <w:r w:rsidR="005807AA">
        <w:rPr>
          <w:rFonts w:ascii="Arial" w:hAnsi="Arial" w:cs="Arial"/>
          <w:sz w:val="24"/>
          <w:szCs w:val="24"/>
        </w:rPr>
        <w:t>is a</w:t>
      </w:r>
      <w:r w:rsidR="000573E0">
        <w:rPr>
          <w:rFonts w:ascii="Arial" w:hAnsi="Arial" w:cs="Arial"/>
          <w:sz w:val="24"/>
          <w:szCs w:val="24"/>
        </w:rPr>
        <w:t xml:space="preserve"> further</w:t>
      </w:r>
      <w:r w:rsidR="005807AA">
        <w:rPr>
          <w:rFonts w:ascii="Arial" w:hAnsi="Arial" w:cs="Arial"/>
          <w:sz w:val="24"/>
          <w:szCs w:val="24"/>
        </w:rPr>
        <w:t xml:space="preserve"> unacceptable encroachment by the UK Government into a devolved policy area and will conflict with and duplicate existing provision in Wales</w:t>
      </w:r>
      <w:r w:rsidR="0007752A">
        <w:rPr>
          <w:rFonts w:ascii="Arial" w:hAnsi="Arial" w:cs="Arial"/>
          <w:sz w:val="24"/>
          <w:szCs w:val="24"/>
        </w:rPr>
        <w:t>.</w:t>
      </w:r>
      <w:r w:rsidR="00B7223F">
        <w:rPr>
          <w:rFonts w:ascii="Arial" w:hAnsi="Arial" w:cs="Arial"/>
          <w:sz w:val="24"/>
          <w:szCs w:val="24"/>
        </w:rPr>
        <w:t xml:space="preserve"> </w:t>
      </w:r>
      <w:r w:rsidR="005807AA">
        <w:rPr>
          <w:rFonts w:ascii="Arial" w:hAnsi="Arial" w:cs="Arial"/>
          <w:sz w:val="24"/>
          <w:szCs w:val="24"/>
        </w:rPr>
        <w:br/>
      </w:r>
    </w:p>
    <w:p w14:paraId="43D8CFBB" w14:textId="78A338A4" w:rsidR="00077937" w:rsidRDefault="00B7223F" w:rsidP="000779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Together with the £47m from the </w:t>
      </w:r>
      <w:r w:rsidR="008A78FF">
        <w:rPr>
          <w:rFonts w:ascii="Arial" w:hAnsi="Arial" w:cs="Arial"/>
          <w:sz w:val="24"/>
          <w:szCs w:val="24"/>
        </w:rPr>
        <w:t xml:space="preserve">2021-22 </w:t>
      </w:r>
      <w:r w:rsidR="00370319">
        <w:rPr>
          <w:rFonts w:ascii="Arial" w:hAnsi="Arial" w:cs="Arial"/>
          <w:sz w:val="24"/>
          <w:szCs w:val="24"/>
        </w:rPr>
        <w:t xml:space="preserve">pilot </w:t>
      </w:r>
      <w:r w:rsidR="008A78FF">
        <w:rPr>
          <w:rFonts w:ascii="Arial" w:hAnsi="Arial" w:cs="Arial"/>
          <w:sz w:val="24"/>
          <w:szCs w:val="24"/>
        </w:rPr>
        <w:t xml:space="preserve">for </w:t>
      </w:r>
      <w:r w:rsidR="00370319">
        <w:rPr>
          <w:rFonts w:ascii="Arial" w:hAnsi="Arial" w:cs="Arial"/>
          <w:sz w:val="24"/>
          <w:szCs w:val="24"/>
        </w:rPr>
        <w:t>the UKSPF</w:t>
      </w:r>
      <w:r w:rsidR="00375B8A">
        <w:rPr>
          <w:rFonts w:ascii="Arial" w:hAnsi="Arial" w:cs="Arial"/>
          <w:sz w:val="24"/>
          <w:szCs w:val="24"/>
        </w:rPr>
        <w:t xml:space="preserve"> – </w:t>
      </w:r>
      <w:r w:rsidR="00370319">
        <w:rPr>
          <w:rFonts w:ascii="Arial" w:hAnsi="Arial" w:cs="Arial"/>
          <w:sz w:val="24"/>
          <w:szCs w:val="24"/>
        </w:rPr>
        <w:t>the</w:t>
      </w:r>
      <w:r w:rsidR="00375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Community Renewal Fund</w:t>
      </w:r>
      <w:r w:rsidR="00375B8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Wales</w:t>
      </w:r>
      <w:r w:rsidR="00375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receive £632m</w:t>
      </w:r>
      <w:r w:rsidR="008A78FF">
        <w:rPr>
          <w:rFonts w:ascii="Arial" w:hAnsi="Arial" w:cs="Arial"/>
          <w:sz w:val="24"/>
          <w:szCs w:val="24"/>
        </w:rPr>
        <w:t xml:space="preserve"> in replacement funds in the period</w:t>
      </w:r>
      <w:r>
        <w:rPr>
          <w:rFonts w:ascii="Arial" w:hAnsi="Arial" w:cs="Arial"/>
          <w:sz w:val="24"/>
          <w:szCs w:val="24"/>
        </w:rPr>
        <w:t xml:space="preserve">, a shortfall of </w:t>
      </w:r>
      <w:r w:rsidRPr="00242933">
        <w:rPr>
          <w:rFonts w:ascii="Arial" w:hAnsi="Arial" w:cs="Arial"/>
          <w:b/>
          <w:sz w:val="24"/>
          <w:szCs w:val="24"/>
        </w:rPr>
        <w:t>£</w:t>
      </w:r>
      <w:r w:rsidR="000C5AE5" w:rsidRPr="00242933">
        <w:rPr>
          <w:rFonts w:ascii="Arial" w:hAnsi="Arial" w:cs="Arial"/>
          <w:b/>
          <w:sz w:val="24"/>
          <w:szCs w:val="24"/>
        </w:rPr>
        <w:t>77</w:t>
      </w:r>
      <w:r w:rsidR="00E9027E" w:rsidRPr="00242933">
        <w:rPr>
          <w:rFonts w:ascii="Arial" w:hAnsi="Arial" w:cs="Arial"/>
          <w:b/>
          <w:sz w:val="24"/>
          <w:szCs w:val="24"/>
        </w:rPr>
        <w:t>2</w:t>
      </w:r>
      <w:r w:rsidRPr="00242933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674483">
        <w:rPr>
          <w:rFonts w:ascii="Arial" w:hAnsi="Arial" w:cs="Arial"/>
          <w:sz w:val="24"/>
          <w:szCs w:val="24"/>
        </w:rPr>
        <w:t xml:space="preserve"> (</w:t>
      </w:r>
      <w:r w:rsidR="00375B8A">
        <w:rPr>
          <w:rFonts w:ascii="Arial" w:hAnsi="Arial" w:cs="Arial"/>
          <w:sz w:val="24"/>
          <w:szCs w:val="24"/>
        </w:rPr>
        <w:t xml:space="preserve">Table 1 – all </w:t>
      </w:r>
      <w:r w:rsidR="00674483">
        <w:rPr>
          <w:rFonts w:ascii="Arial" w:hAnsi="Arial" w:cs="Arial"/>
          <w:sz w:val="24"/>
          <w:szCs w:val="24"/>
        </w:rPr>
        <w:t>figures are in current prices.)</w:t>
      </w:r>
      <w:r w:rsidR="005807AA">
        <w:rPr>
          <w:rFonts w:ascii="Arial" w:hAnsi="Arial" w:cs="Arial"/>
          <w:sz w:val="24"/>
          <w:szCs w:val="24"/>
        </w:rPr>
        <w:br/>
      </w:r>
    </w:p>
    <w:p w14:paraId="3673D5C9" w14:textId="5C639142" w:rsidR="00375B8A" w:rsidRPr="00A85A51" w:rsidRDefault="00375B8A" w:rsidP="00077937">
      <w:pPr>
        <w:rPr>
          <w:rFonts w:ascii="Arial" w:hAnsi="Arial" w:cs="Arial"/>
          <w:b/>
          <w:sz w:val="24"/>
          <w:szCs w:val="24"/>
        </w:rPr>
      </w:pPr>
      <w:r w:rsidRPr="00A85A51">
        <w:rPr>
          <w:rFonts w:ascii="Arial" w:hAnsi="Arial" w:cs="Arial"/>
          <w:b/>
          <w:sz w:val="24"/>
          <w:szCs w:val="24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84"/>
        <w:gridCol w:w="2497"/>
        <w:gridCol w:w="1641"/>
        <w:gridCol w:w="1625"/>
      </w:tblGrid>
      <w:tr w:rsidR="00077937" w:rsidRPr="00865134" w14:paraId="02CAE6A7" w14:textId="77777777" w:rsidTr="00242933">
        <w:tc>
          <w:tcPr>
            <w:tcW w:w="2122" w:type="dxa"/>
          </w:tcPr>
          <w:p w14:paraId="6FA61DB6" w14:textId="0C1B0456" w:rsidR="00077937" w:rsidRPr="00865134" w:rsidRDefault="00742258" w:rsidP="00820D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884" w:type="dxa"/>
          </w:tcPr>
          <w:p w14:paraId="52CEB4B8" w14:textId="7C26F14D" w:rsidR="00077937" w:rsidRPr="00865134" w:rsidRDefault="00077937" w:rsidP="00242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 SPF </w:t>
            </w:r>
            <w:r w:rsidR="00375B8A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375B8A" w:rsidRPr="0086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pending </w:t>
            </w:r>
            <w:r w:rsidR="00375B8A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375B8A" w:rsidRPr="00865134">
              <w:rPr>
                <w:rFonts w:ascii="Arial" w:hAnsi="Arial" w:cs="Arial"/>
                <w:b/>
                <w:bCs/>
                <w:sz w:val="24"/>
                <w:szCs w:val="24"/>
              </w:rPr>
              <w:t>rofile</w:t>
            </w:r>
          </w:p>
        </w:tc>
        <w:tc>
          <w:tcPr>
            <w:tcW w:w="2497" w:type="dxa"/>
          </w:tcPr>
          <w:p w14:paraId="5EF7DC5F" w14:textId="7D041094" w:rsidR="00077937" w:rsidRPr="00865134" w:rsidRDefault="00077937" w:rsidP="00242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Wales SPF </w:t>
            </w:r>
            <w:r w:rsidR="00375B8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375B8A" w:rsidRPr="00865134">
              <w:rPr>
                <w:rFonts w:ascii="Arial" w:hAnsi="Arial" w:cs="Arial"/>
                <w:b/>
                <w:bCs/>
                <w:sz w:val="24"/>
                <w:szCs w:val="24"/>
              </w:rPr>
              <w:t>llocation</w:t>
            </w:r>
          </w:p>
        </w:tc>
        <w:tc>
          <w:tcPr>
            <w:tcW w:w="1641" w:type="dxa"/>
          </w:tcPr>
          <w:p w14:paraId="65CE0712" w14:textId="77777777" w:rsidR="00077937" w:rsidRPr="00865134" w:rsidRDefault="00077937" w:rsidP="00242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Funding if Wales remained in the EU</w:t>
            </w:r>
          </w:p>
        </w:tc>
        <w:tc>
          <w:tcPr>
            <w:tcW w:w="1625" w:type="dxa"/>
          </w:tcPr>
          <w:p w14:paraId="2BF22039" w14:textId="77777777" w:rsidR="00077937" w:rsidRPr="00865134" w:rsidRDefault="00077937" w:rsidP="00242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Shortfall to Wales</w:t>
            </w:r>
          </w:p>
        </w:tc>
      </w:tr>
      <w:tr w:rsidR="00742258" w14:paraId="223AE841" w14:textId="77777777" w:rsidTr="00242933">
        <w:tc>
          <w:tcPr>
            <w:tcW w:w="2122" w:type="dxa"/>
          </w:tcPr>
          <w:p w14:paraId="0F3C14D6" w14:textId="2CCC784E" w:rsidR="00742258" w:rsidRDefault="00742258" w:rsidP="00766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– Mar 2021</w:t>
            </w:r>
          </w:p>
        </w:tc>
        <w:tc>
          <w:tcPr>
            <w:tcW w:w="1884" w:type="dxa"/>
          </w:tcPr>
          <w:p w14:paraId="0EF8162F" w14:textId="77777777" w:rsidR="00742258" w:rsidRDefault="00742258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</w:tcPr>
          <w:p w14:paraId="5E77C4A4" w14:textId="77777777" w:rsidR="00742258" w:rsidRDefault="00742258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</w:tcPr>
          <w:p w14:paraId="33BFB0EE" w14:textId="7C85F169" w:rsidR="00742258" w:rsidRDefault="00742258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C1B43"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25" w:type="dxa"/>
          </w:tcPr>
          <w:p w14:paraId="5BF35CC5" w14:textId="77BD5B9C" w:rsidR="00742258" w:rsidRDefault="004D767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5C1B43"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77937" w14:paraId="7140EA89" w14:textId="77777777" w:rsidTr="00242933">
        <w:tc>
          <w:tcPr>
            <w:tcW w:w="2122" w:type="dxa"/>
          </w:tcPr>
          <w:p w14:paraId="3CFF5422" w14:textId="77777777" w:rsidR="00077937" w:rsidRDefault="00077937" w:rsidP="00766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2021-22*</w:t>
            </w:r>
          </w:p>
        </w:tc>
        <w:tc>
          <w:tcPr>
            <w:tcW w:w="1884" w:type="dxa"/>
          </w:tcPr>
          <w:p w14:paraId="2A4B706D" w14:textId="77777777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£200m</w:t>
            </w:r>
          </w:p>
        </w:tc>
        <w:tc>
          <w:tcPr>
            <w:tcW w:w="2497" w:type="dxa"/>
          </w:tcPr>
          <w:p w14:paraId="2B24C86F" w14:textId="7FAD80D8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7752A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41" w:type="dxa"/>
          </w:tcPr>
          <w:p w14:paraId="3D2A2510" w14:textId="5E7A13FE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£316m</w:t>
            </w:r>
          </w:p>
        </w:tc>
        <w:tc>
          <w:tcPr>
            <w:tcW w:w="1625" w:type="dxa"/>
          </w:tcPr>
          <w:p w14:paraId="14DCAF61" w14:textId="4B9A5BBD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7752A">
              <w:rPr>
                <w:rFonts w:ascii="Arial" w:hAnsi="Arial" w:cs="Arial"/>
                <w:sz w:val="24"/>
                <w:szCs w:val="24"/>
              </w:rPr>
              <w:t>269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77937" w14:paraId="4103B86A" w14:textId="77777777" w:rsidTr="00242933">
        <w:tc>
          <w:tcPr>
            <w:tcW w:w="2122" w:type="dxa"/>
          </w:tcPr>
          <w:p w14:paraId="627282DA" w14:textId="77777777" w:rsidR="00077937" w:rsidRDefault="00077937" w:rsidP="00766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2022-23</w:t>
            </w:r>
          </w:p>
        </w:tc>
        <w:tc>
          <w:tcPr>
            <w:tcW w:w="1884" w:type="dxa"/>
          </w:tcPr>
          <w:p w14:paraId="5E12D36A" w14:textId="79B9EF03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</w:t>
            </w:r>
            <w:r w:rsidR="00082449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497" w:type="dxa"/>
          </w:tcPr>
          <w:p w14:paraId="13456AC5" w14:textId="77777777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£89m</w:t>
            </w:r>
          </w:p>
        </w:tc>
        <w:tc>
          <w:tcPr>
            <w:tcW w:w="1641" w:type="dxa"/>
          </w:tcPr>
          <w:p w14:paraId="691DB233" w14:textId="643C9B7C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  <w:r w:rsidR="0007752A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25" w:type="dxa"/>
          </w:tcPr>
          <w:p w14:paraId="334A35EE" w14:textId="39E9E6F6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</w:t>
            </w:r>
            <w:r w:rsidR="0007752A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77937" w14:paraId="408FC233" w14:textId="77777777" w:rsidTr="00242933">
        <w:tc>
          <w:tcPr>
            <w:tcW w:w="2122" w:type="dxa"/>
          </w:tcPr>
          <w:p w14:paraId="46C682E3" w14:textId="77777777" w:rsidR="00077937" w:rsidRDefault="00077937" w:rsidP="00766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2023-24</w:t>
            </w:r>
          </w:p>
        </w:tc>
        <w:tc>
          <w:tcPr>
            <w:tcW w:w="1884" w:type="dxa"/>
          </w:tcPr>
          <w:p w14:paraId="48982A23" w14:textId="3121614A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82449">
              <w:rPr>
                <w:rFonts w:ascii="Arial" w:hAnsi="Arial" w:cs="Arial"/>
                <w:sz w:val="24"/>
                <w:szCs w:val="24"/>
              </w:rPr>
              <w:t>690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497" w:type="dxa"/>
          </w:tcPr>
          <w:p w14:paraId="10955B3B" w14:textId="77777777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£153m</w:t>
            </w:r>
          </w:p>
        </w:tc>
        <w:tc>
          <w:tcPr>
            <w:tcW w:w="1641" w:type="dxa"/>
          </w:tcPr>
          <w:p w14:paraId="4CD9AA18" w14:textId="3BCC4745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  <w:r w:rsidR="0007752A">
              <w:rPr>
                <w:rFonts w:ascii="Arial" w:hAnsi="Arial" w:cs="Arial"/>
                <w:sz w:val="24"/>
                <w:szCs w:val="24"/>
              </w:rPr>
              <w:t>37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25" w:type="dxa"/>
          </w:tcPr>
          <w:p w14:paraId="555F3562" w14:textId="308D5380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7752A">
              <w:rPr>
                <w:rFonts w:ascii="Arial" w:hAnsi="Arial" w:cs="Arial"/>
                <w:sz w:val="24"/>
                <w:szCs w:val="24"/>
              </w:rPr>
              <w:t>184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77937" w14:paraId="24240C4B" w14:textId="77777777" w:rsidTr="00242933">
        <w:tc>
          <w:tcPr>
            <w:tcW w:w="2122" w:type="dxa"/>
          </w:tcPr>
          <w:p w14:paraId="6619F0F2" w14:textId="77777777" w:rsidR="00077937" w:rsidRDefault="00077937" w:rsidP="007665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2024-25</w:t>
            </w:r>
          </w:p>
        </w:tc>
        <w:tc>
          <w:tcPr>
            <w:tcW w:w="1884" w:type="dxa"/>
          </w:tcPr>
          <w:p w14:paraId="0C3D6CA1" w14:textId="4B0D547A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</w:t>
            </w:r>
            <w:r w:rsidR="00082449">
              <w:rPr>
                <w:rFonts w:ascii="Arial" w:hAnsi="Arial" w:cs="Arial"/>
                <w:sz w:val="24"/>
                <w:szCs w:val="24"/>
              </w:rPr>
              <w:t>,500m</w:t>
            </w:r>
          </w:p>
        </w:tc>
        <w:tc>
          <w:tcPr>
            <w:tcW w:w="2497" w:type="dxa"/>
          </w:tcPr>
          <w:p w14:paraId="2B7D0181" w14:textId="77777777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£343m</w:t>
            </w:r>
          </w:p>
        </w:tc>
        <w:tc>
          <w:tcPr>
            <w:tcW w:w="1641" w:type="dxa"/>
          </w:tcPr>
          <w:p w14:paraId="75AF815C" w14:textId="68C415D8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</w:t>
            </w:r>
            <w:r w:rsidR="0007752A">
              <w:rPr>
                <w:rFonts w:ascii="Arial" w:hAnsi="Arial" w:cs="Arial"/>
                <w:sz w:val="24"/>
                <w:szCs w:val="24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25" w:type="dxa"/>
          </w:tcPr>
          <w:p w14:paraId="69029BE8" w14:textId="14B1F8C1" w:rsidR="00077937" w:rsidRDefault="00077937" w:rsidP="00820D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07752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077937" w:rsidRPr="004B24E7" w14:paraId="4AD1A0AD" w14:textId="77777777" w:rsidTr="00242933">
        <w:tc>
          <w:tcPr>
            <w:tcW w:w="2122" w:type="dxa"/>
          </w:tcPr>
          <w:p w14:paraId="15F85A23" w14:textId="77777777" w:rsidR="00077937" w:rsidRPr="004B24E7" w:rsidRDefault="00077937" w:rsidP="007665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4E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84" w:type="dxa"/>
          </w:tcPr>
          <w:p w14:paraId="73A6AFBA" w14:textId="42685620" w:rsidR="00077937" w:rsidRPr="004B24E7" w:rsidRDefault="00154415" w:rsidP="00820D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£2,819m</w:t>
            </w:r>
          </w:p>
        </w:tc>
        <w:tc>
          <w:tcPr>
            <w:tcW w:w="2497" w:type="dxa"/>
          </w:tcPr>
          <w:p w14:paraId="5CB0698E" w14:textId="06E77501" w:rsidR="00077937" w:rsidRPr="004B24E7" w:rsidRDefault="001E7842" w:rsidP="00820D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£632m</w:t>
            </w:r>
          </w:p>
        </w:tc>
        <w:tc>
          <w:tcPr>
            <w:tcW w:w="1641" w:type="dxa"/>
          </w:tcPr>
          <w:p w14:paraId="76CE5781" w14:textId="0F6D198F" w:rsidR="00077937" w:rsidRPr="004B24E7" w:rsidRDefault="001E7842" w:rsidP="00820D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£1,</w:t>
            </w:r>
            <w:r w:rsidR="00742258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="005C1B4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5" w:type="dxa"/>
          </w:tcPr>
          <w:p w14:paraId="64FFF7C8" w14:textId="59FEFD4E" w:rsidR="00077937" w:rsidRPr="004B24E7" w:rsidRDefault="00077937" w:rsidP="00820D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4D7677">
              <w:rPr>
                <w:rFonts w:ascii="Arial" w:hAnsi="Arial" w:cs="Arial"/>
                <w:b/>
                <w:bCs/>
                <w:sz w:val="24"/>
                <w:szCs w:val="24"/>
              </w:rPr>
              <w:t>77</w:t>
            </w:r>
            <w:r w:rsidR="005C1B4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</w:tr>
    </w:tbl>
    <w:p w14:paraId="5BB29181" w14:textId="6B9321DC" w:rsidR="0007752A" w:rsidRPr="00242933" w:rsidRDefault="0007752A" w:rsidP="0007752A">
      <w:pPr>
        <w:rPr>
          <w:rFonts w:ascii="Arial" w:hAnsi="Arial" w:cs="Arial"/>
          <w:szCs w:val="24"/>
        </w:rPr>
      </w:pPr>
      <w:r w:rsidRPr="0007752A">
        <w:rPr>
          <w:rFonts w:ascii="Arial" w:hAnsi="Arial" w:cs="Arial"/>
          <w:sz w:val="24"/>
          <w:szCs w:val="24"/>
        </w:rPr>
        <w:t>*</w:t>
      </w:r>
      <w:r w:rsidRPr="00242933">
        <w:rPr>
          <w:rFonts w:ascii="Arial" w:hAnsi="Arial" w:cs="Arial"/>
          <w:szCs w:val="24"/>
        </w:rPr>
        <w:t xml:space="preserve">2021-22 funding awarded through the Community Renewal Fund (the pilot for the </w:t>
      </w:r>
      <w:r w:rsidR="00154415" w:rsidRPr="00242933">
        <w:rPr>
          <w:rFonts w:ascii="Arial" w:hAnsi="Arial" w:cs="Arial"/>
          <w:szCs w:val="24"/>
        </w:rPr>
        <w:t>UK</w:t>
      </w:r>
      <w:r w:rsidRPr="00242933">
        <w:rPr>
          <w:rFonts w:ascii="Arial" w:hAnsi="Arial" w:cs="Arial"/>
          <w:szCs w:val="24"/>
        </w:rPr>
        <w:t>SPF)</w:t>
      </w:r>
    </w:p>
    <w:p w14:paraId="5FC56B5C" w14:textId="77777777" w:rsidR="00630934" w:rsidRDefault="00630934" w:rsidP="001E5DE7">
      <w:pPr>
        <w:rPr>
          <w:rFonts w:ascii="Arial" w:hAnsi="Arial" w:cs="Arial"/>
          <w:sz w:val="24"/>
          <w:szCs w:val="24"/>
        </w:rPr>
      </w:pPr>
    </w:p>
    <w:p w14:paraId="291E2C09" w14:textId="6F869D8B" w:rsidR="001E5DE7" w:rsidRDefault="001E5DE7" w:rsidP="001E5DE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top of</w:t>
      </w:r>
      <w:r w:rsidRPr="00D14EFC">
        <w:rPr>
          <w:rFonts w:ascii="Arial" w:hAnsi="Arial" w:cs="Arial"/>
          <w:sz w:val="24"/>
          <w:szCs w:val="24"/>
        </w:rPr>
        <w:t xml:space="preserve"> this, </w:t>
      </w:r>
      <w:r>
        <w:rPr>
          <w:rFonts w:ascii="Arial" w:hAnsi="Arial" w:cs="Arial"/>
          <w:sz w:val="24"/>
          <w:szCs w:val="24"/>
        </w:rPr>
        <w:t xml:space="preserve">the </w:t>
      </w:r>
      <w:r w:rsidRPr="00D14EFC">
        <w:rPr>
          <w:rFonts w:ascii="Arial" w:hAnsi="Arial" w:cs="Arial"/>
          <w:sz w:val="24"/>
          <w:szCs w:val="24"/>
        </w:rPr>
        <w:t>UK Government</w:t>
      </w:r>
      <w:r w:rsidR="00375B8A">
        <w:rPr>
          <w:rFonts w:ascii="Arial" w:hAnsi="Arial" w:cs="Arial"/>
          <w:sz w:val="24"/>
          <w:szCs w:val="24"/>
        </w:rPr>
        <w:t>,</w:t>
      </w:r>
      <w:r w:rsidRPr="00D14EFC">
        <w:rPr>
          <w:rFonts w:ascii="Arial" w:hAnsi="Arial" w:cs="Arial"/>
          <w:sz w:val="24"/>
          <w:szCs w:val="24"/>
        </w:rPr>
        <w:t xml:space="preserve"> when providing replacement EU </w:t>
      </w:r>
      <w:r w:rsidR="000B57BC">
        <w:rPr>
          <w:rFonts w:ascii="Arial" w:hAnsi="Arial" w:cs="Arial"/>
          <w:sz w:val="24"/>
          <w:szCs w:val="24"/>
        </w:rPr>
        <w:t xml:space="preserve">farm </w:t>
      </w:r>
      <w:r w:rsidRPr="00D14EFC">
        <w:rPr>
          <w:rFonts w:ascii="Arial" w:hAnsi="Arial" w:cs="Arial"/>
          <w:sz w:val="24"/>
          <w:szCs w:val="24"/>
        </w:rPr>
        <w:t>funding</w:t>
      </w:r>
      <w:r w:rsidR="00375B8A">
        <w:rPr>
          <w:rFonts w:ascii="Arial" w:hAnsi="Arial" w:cs="Arial"/>
          <w:sz w:val="24"/>
          <w:szCs w:val="24"/>
        </w:rPr>
        <w:t>,</w:t>
      </w:r>
      <w:r w:rsidRPr="00D14EFC">
        <w:rPr>
          <w:rFonts w:ascii="Arial" w:hAnsi="Arial" w:cs="Arial"/>
          <w:sz w:val="24"/>
          <w:szCs w:val="24"/>
        </w:rPr>
        <w:t xml:space="preserve"> is deducting </w:t>
      </w:r>
      <w:r w:rsidRPr="00D14EFC">
        <w:rPr>
          <w:rFonts w:ascii="Arial" w:hAnsi="Arial" w:cs="Arial"/>
          <w:color w:val="000000"/>
          <w:sz w:val="24"/>
          <w:szCs w:val="24"/>
        </w:rPr>
        <w:t xml:space="preserve">EU receipts due to Wales for work which was part of the 2014-2020 Rural Development programme. This means </w:t>
      </w:r>
      <w:proofErr w:type="spellStart"/>
      <w:r w:rsidR="008A78FF" w:rsidRPr="00D14EFC">
        <w:rPr>
          <w:rFonts w:ascii="Arial" w:hAnsi="Arial" w:cs="Arial"/>
          <w:color w:val="000000"/>
          <w:sz w:val="24"/>
          <w:szCs w:val="24"/>
        </w:rPr>
        <w:t>Wales</w:t>
      </w:r>
      <w:r w:rsidR="008A78FF">
        <w:rPr>
          <w:rFonts w:ascii="Arial" w:hAnsi="Arial" w:cs="Arial"/>
          <w:color w:val="000000"/>
          <w:sz w:val="24"/>
          <w:szCs w:val="24"/>
        </w:rPr>
        <w:t>’</w:t>
      </w:r>
      <w:proofErr w:type="spellEnd"/>
      <w:r w:rsidRPr="00D14EFC">
        <w:rPr>
          <w:rFonts w:ascii="Arial" w:hAnsi="Arial" w:cs="Arial"/>
          <w:color w:val="000000"/>
          <w:sz w:val="24"/>
          <w:szCs w:val="24"/>
        </w:rPr>
        <w:t xml:space="preserve"> rural communities are </w:t>
      </w:r>
      <w:r w:rsidR="00375B8A" w:rsidRPr="00242933">
        <w:rPr>
          <w:rFonts w:ascii="Arial" w:hAnsi="Arial" w:cs="Arial"/>
          <w:b/>
          <w:color w:val="000000"/>
          <w:sz w:val="24"/>
          <w:szCs w:val="24"/>
        </w:rPr>
        <w:t>£243m</w:t>
      </w:r>
      <w:r w:rsidR="00375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14EFC">
        <w:rPr>
          <w:rFonts w:ascii="Arial" w:hAnsi="Arial" w:cs="Arial"/>
          <w:color w:val="000000"/>
          <w:sz w:val="24"/>
          <w:szCs w:val="24"/>
        </w:rPr>
        <w:t xml:space="preserve">worse off than had we remained in the EU.  </w:t>
      </w:r>
    </w:p>
    <w:p w14:paraId="058C18DC" w14:textId="5BD4CE53" w:rsidR="001E5DE7" w:rsidRDefault="001E5DE7" w:rsidP="001E5DE7">
      <w:pPr>
        <w:spacing w:after="20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B00848A" w14:textId="77777777" w:rsidR="00C1355E" w:rsidRPr="00A85A51" w:rsidRDefault="00C1355E" w:rsidP="00C1355E">
      <w:pPr>
        <w:spacing w:after="200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A85A51">
        <w:rPr>
          <w:rFonts w:ascii="Arial" w:hAnsi="Arial" w:cs="Arial"/>
          <w:b/>
          <w:color w:val="000000"/>
          <w:sz w:val="24"/>
          <w:szCs w:val="24"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324"/>
        <w:gridCol w:w="1725"/>
        <w:gridCol w:w="1506"/>
        <w:gridCol w:w="1737"/>
        <w:gridCol w:w="1497"/>
      </w:tblGrid>
      <w:tr w:rsidR="00C1355E" w:rsidRPr="00865134" w14:paraId="7DBD08A8" w14:textId="77777777" w:rsidTr="00E568B2">
        <w:tc>
          <w:tcPr>
            <w:tcW w:w="1980" w:type="dxa"/>
          </w:tcPr>
          <w:p w14:paraId="5DE9A794" w14:textId="77777777" w:rsidR="00C1355E" w:rsidRPr="00865134" w:rsidRDefault="00C1355E" w:rsidP="00E568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324" w:type="dxa"/>
          </w:tcPr>
          <w:p w14:paraId="67CEC5EF" w14:textId="77777777" w:rsidR="00C1355E" w:rsidRPr="00865134" w:rsidRDefault="00C1355E" w:rsidP="00E56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UK </w:t>
            </w:r>
            <w:r w:rsidRPr="0086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86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pending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865134">
              <w:rPr>
                <w:rFonts w:ascii="Arial" w:hAnsi="Arial" w:cs="Arial"/>
                <w:b/>
                <w:bCs/>
                <w:sz w:val="24"/>
                <w:szCs w:val="24"/>
              </w:rPr>
              <w:t>rofile</w:t>
            </w:r>
          </w:p>
        </w:tc>
        <w:tc>
          <w:tcPr>
            <w:tcW w:w="1725" w:type="dxa"/>
          </w:tcPr>
          <w:p w14:paraId="028C549E" w14:textId="77777777" w:rsidR="00C1355E" w:rsidRPr="00865134" w:rsidRDefault="00C1355E" w:rsidP="00E56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Wales SPF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865134">
              <w:rPr>
                <w:rFonts w:ascii="Arial" w:hAnsi="Arial" w:cs="Arial"/>
                <w:b/>
                <w:bCs/>
                <w:sz w:val="24"/>
                <w:szCs w:val="24"/>
              </w:rPr>
              <w:t>llocation</w:t>
            </w:r>
          </w:p>
        </w:tc>
        <w:tc>
          <w:tcPr>
            <w:tcW w:w="1506" w:type="dxa"/>
          </w:tcPr>
          <w:p w14:paraId="5C96EF5D" w14:textId="77777777" w:rsidR="00C1355E" w:rsidRPr="00865134" w:rsidRDefault="00C1355E" w:rsidP="00E56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Funding if Wales remained in the EU</w:t>
            </w:r>
          </w:p>
        </w:tc>
        <w:tc>
          <w:tcPr>
            <w:tcW w:w="1737" w:type="dxa"/>
          </w:tcPr>
          <w:p w14:paraId="2569A4F2" w14:textId="77777777" w:rsidR="00C1355E" w:rsidRDefault="00C1355E" w:rsidP="00E56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EU farm funding shortfall</w:t>
            </w:r>
          </w:p>
        </w:tc>
        <w:tc>
          <w:tcPr>
            <w:tcW w:w="1497" w:type="dxa"/>
          </w:tcPr>
          <w:p w14:paraId="60E9A071" w14:textId="77777777" w:rsidR="00C1355E" w:rsidRPr="00865134" w:rsidRDefault="00C1355E" w:rsidP="00E56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shortfall to Wales</w:t>
            </w:r>
          </w:p>
        </w:tc>
      </w:tr>
      <w:tr w:rsidR="00C1355E" w14:paraId="3D56FB35" w14:textId="77777777" w:rsidTr="00E568B2">
        <w:tc>
          <w:tcPr>
            <w:tcW w:w="1980" w:type="dxa"/>
          </w:tcPr>
          <w:p w14:paraId="58020DAA" w14:textId="77777777" w:rsidR="00C1355E" w:rsidRDefault="00C1355E" w:rsidP="00E5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324" w:type="dxa"/>
          </w:tcPr>
          <w:p w14:paraId="61D31DAE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B267DC4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EB3B514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F3670E5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£42m</w:t>
            </w:r>
          </w:p>
        </w:tc>
        <w:tc>
          <w:tcPr>
            <w:tcW w:w="1497" w:type="dxa"/>
          </w:tcPr>
          <w:p w14:paraId="0695D69D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£42m</w:t>
            </w:r>
          </w:p>
        </w:tc>
      </w:tr>
      <w:tr w:rsidR="00C1355E" w14:paraId="03774E63" w14:textId="77777777" w:rsidTr="00E568B2">
        <w:tc>
          <w:tcPr>
            <w:tcW w:w="1980" w:type="dxa"/>
          </w:tcPr>
          <w:p w14:paraId="4CF0069B" w14:textId="77777777" w:rsidR="00C1355E" w:rsidRDefault="00C1355E" w:rsidP="00E5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– Mar 2021</w:t>
            </w:r>
          </w:p>
        </w:tc>
        <w:tc>
          <w:tcPr>
            <w:tcW w:w="1324" w:type="dxa"/>
          </w:tcPr>
          <w:p w14:paraId="2F3A46CB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9BAB575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AD02FEE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£79m</w:t>
            </w:r>
          </w:p>
        </w:tc>
        <w:tc>
          <w:tcPr>
            <w:tcW w:w="1737" w:type="dxa"/>
          </w:tcPr>
          <w:p w14:paraId="5FCBA2EA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235C29A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£79m</w:t>
            </w:r>
          </w:p>
        </w:tc>
      </w:tr>
      <w:tr w:rsidR="00C1355E" w14:paraId="2B839AE9" w14:textId="77777777" w:rsidTr="00E568B2">
        <w:tc>
          <w:tcPr>
            <w:tcW w:w="1980" w:type="dxa"/>
          </w:tcPr>
          <w:p w14:paraId="1306E789" w14:textId="77777777" w:rsidR="00C1355E" w:rsidRDefault="00C1355E" w:rsidP="00E5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2021-22*</w:t>
            </w:r>
          </w:p>
        </w:tc>
        <w:tc>
          <w:tcPr>
            <w:tcW w:w="1324" w:type="dxa"/>
          </w:tcPr>
          <w:p w14:paraId="0AED35C2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£200m</w:t>
            </w:r>
          </w:p>
        </w:tc>
        <w:tc>
          <w:tcPr>
            <w:tcW w:w="1725" w:type="dxa"/>
          </w:tcPr>
          <w:p w14:paraId="493415CA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£47m</w:t>
            </w:r>
          </w:p>
        </w:tc>
        <w:tc>
          <w:tcPr>
            <w:tcW w:w="1506" w:type="dxa"/>
          </w:tcPr>
          <w:p w14:paraId="6E34B6B4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£316m</w:t>
            </w:r>
          </w:p>
        </w:tc>
        <w:tc>
          <w:tcPr>
            <w:tcW w:w="1737" w:type="dxa"/>
          </w:tcPr>
          <w:p w14:paraId="77520CCD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£95m</w:t>
            </w:r>
          </w:p>
        </w:tc>
        <w:tc>
          <w:tcPr>
            <w:tcW w:w="1497" w:type="dxa"/>
          </w:tcPr>
          <w:p w14:paraId="21C20697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£364m</w:t>
            </w:r>
          </w:p>
        </w:tc>
      </w:tr>
      <w:tr w:rsidR="00C1355E" w14:paraId="7B2B5F65" w14:textId="77777777" w:rsidTr="00E568B2">
        <w:tc>
          <w:tcPr>
            <w:tcW w:w="1980" w:type="dxa"/>
          </w:tcPr>
          <w:p w14:paraId="72DA9E21" w14:textId="77777777" w:rsidR="00C1355E" w:rsidRDefault="00C1355E" w:rsidP="00E5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2022-23</w:t>
            </w:r>
          </w:p>
        </w:tc>
        <w:tc>
          <w:tcPr>
            <w:tcW w:w="1324" w:type="dxa"/>
          </w:tcPr>
          <w:p w14:paraId="47F14EC0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£429m</w:t>
            </w:r>
          </w:p>
        </w:tc>
        <w:tc>
          <w:tcPr>
            <w:tcW w:w="1725" w:type="dxa"/>
          </w:tcPr>
          <w:p w14:paraId="0F66F1D9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£89m</w:t>
            </w:r>
          </w:p>
        </w:tc>
        <w:tc>
          <w:tcPr>
            <w:tcW w:w="1506" w:type="dxa"/>
          </w:tcPr>
          <w:p w14:paraId="7B58B9FE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£329m</w:t>
            </w:r>
          </w:p>
        </w:tc>
        <w:tc>
          <w:tcPr>
            <w:tcW w:w="1737" w:type="dxa"/>
          </w:tcPr>
          <w:p w14:paraId="15E42CE7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£85m</w:t>
            </w:r>
          </w:p>
        </w:tc>
        <w:tc>
          <w:tcPr>
            <w:tcW w:w="1497" w:type="dxa"/>
          </w:tcPr>
          <w:p w14:paraId="6D9B557C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£325m</w:t>
            </w:r>
          </w:p>
        </w:tc>
      </w:tr>
      <w:tr w:rsidR="00C1355E" w14:paraId="0EE15E54" w14:textId="77777777" w:rsidTr="00E568B2">
        <w:tc>
          <w:tcPr>
            <w:tcW w:w="1980" w:type="dxa"/>
          </w:tcPr>
          <w:p w14:paraId="49F78E84" w14:textId="77777777" w:rsidR="00C1355E" w:rsidRDefault="00C1355E" w:rsidP="00E5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2023-24</w:t>
            </w:r>
          </w:p>
        </w:tc>
        <w:tc>
          <w:tcPr>
            <w:tcW w:w="1324" w:type="dxa"/>
          </w:tcPr>
          <w:p w14:paraId="39233C4A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£690m</w:t>
            </w:r>
          </w:p>
        </w:tc>
        <w:tc>
          <w:tcPr>
            <w:tcW w:w="1725" w:type="dxa"/>
          </w:tcPr>
          <w:p w14:paraId="17CCB0A9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£153m</w:t>
            </w:r>
          </w:p>
        </w:tc>
        <w:tc>
          <w:tcPr>
            <w:tcW w:w="1506" w:type="dxa"/>
          </w:tcPr>
          <w:p w14:paraId="22A20BB4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£337m</w:t>
            </w:r>
          </w:p>
        </w:tc>
        <w:tc>
          <w:tcPr>
            <w:tcW w:w="1737" w:type="dxa"/>
          </w:tcPr>
          <w:p w14:paraId="3DA7B6BB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£21m</w:t>
            </w:r>
          </w:p>
        </w:tc>
        <w:tc>
          <w:tcPr>
            <w:tcW w:w="1497" w:type="dxa"/>
          </w:tcPr>
          <w:p w14:paraId="661A0291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£205m</w:t>
            </w:r>
          </w:p>
        </w:tc>
      </w:tr>
      <w:tr w:rsidR="00C1355E" w14:paraId="5D91E102" w14:textId="77777777" w:rsidTr="00E568B2">
        <w:tc>
          <w:tcPr>
            <w:tcW w:w="1980" w:type="dxa"/>
          </w:tcPr>
          <w:p w14:paraId="76EC7456" w14:textId="77777777" w:rsidR="00C1355E" w:rsidRDefault="00C1355E" w:rsidP="00E568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2024-25</w:t>
            </w:r>
          </w:p>
        </w:tc>
        <w:tc>
          <w:tcPr>
            <w:tcW w:w="1324" w:type="dxa"/>
          </w:tcPr>
          <w:p w14:paraId="6837ED71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£1,500m</w:t>
            </w:r>
          </w:p>
        </w:tc>
        <w:tc>
          <w:tcPr>
            <w:tcW w:w="1725" w:type="dxa"/>
          </w:tcPr>
          <w:p w14:paraId="449CFEF6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£343m</w:t>
            </w:r>
          </w:p>
        </w:tc>
        <w:tc>
          <w:tcPr>
            <w:tcW w:w="1506" w:type="dxa"/>
          </w:tcPr>
          <w:p w14:paraId="55EE0752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£343m</w:t>
            </w:r>
          </w:p>
        </w:tc>
        <w:tc>
          <w:tcPr>
            <w:tcW w:w="1737" w:type="dxa"/>
          </w:tcPr>
          <w:p w14:paraId="279BBA78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£0m</w:t>
            </w:r>
          </w:p>
        </w:tc>
        <w:tc>
          <w:tcPr>
            <w:tcW w:w="1497" w:type="dxa"/>
          </w:tcPr>
          <w:p w14:paraId="1C4D53BB" w14:textId="77777777" w:rsidR="00C1355E" w:rsidRDefault="00C1355E" w:rsidP="00E568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£0m</w:t>
            </w:r>
          </w:p>
        </w:tc>
      </w:tr>
      <w:tr w:rsidR="00C1355E" w:rsidRPr="004B24E7" w14:paraId="69256467" w14:textId="77777777" w:rsidTr="00E568B2">
        <w:tc>
          <w:tcPr>
            <w:tcW w:w="1980" w:type="dxa"/>
          </w:tcPr>
          <w:p w14:paraId="4071ECC8" w14:textId="77777777" w:rsidR="00C1355E" w:rsidRPr="004B24E7" w:rsidRDefault="00C1355E" w:rsidP="00E568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24E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24" w:type="dxa"/>
          </w:tcPr>
          <w:p w14:paraId="6D959370" w14:textId="77777777" w:rsidR="00C1355E" w:rsidRPr="004B24E7" w:rsidRDefault="00C1355E" w:rsidP="00E568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£2,819m</w:t>
            </w:r>
          </w:p>
        </w:tc>
        <w:tc>
          <w:tcPr>
            <w:tcW w:w="1725" w:type="dxa"/>
          </w:tcPr>
          <w:p w14:paraId="1E462747" w14:textId="77777777" w:rsidR="00C1355E" w:rsidRPr="004B24E7" w:rsidRDefault="00C1355E" w:rsidP="00E568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£632m</w:t>
            </w:r>
          </w:p>
        </w:tc>
        <w:tc>
          <w:tcPr>
            <w:tcW w:w="1506" w:type="dxa"/>
          </w:tcPr>
          <w:p w14:paraId="045D7E60" w14:textId="77777777" w:rsidR="00C1355E" w:rsidRPr="004B24E7" w:rsidRDefault="00C1355E" w:rsidP="00E568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£1,404m</w:t>
            </w:r>
          </w:p>
        </w:tc>
        <w:tc>
          <w:tcPr>
            <w:tcW w:w="1737" w:type="dxa"/>
          </w:tcPr>
          <w:p w14:paraId="11C5E977" w14:textId="77777777" w:rsidR="00C1355E" w:rsidRDefault="00C1355E" w:rsidP="00E568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£243m</w:t>
            </w:r>
          </w:p>
        </w:tc>
        <w:tc>
          <w:tcPr>
            <w:tcW w:w="1497" w:type="dxa"/>
          </w:tcPr>
          <w:p w14:paraId="709A43BC" w14:textId="77777777" w:rsidR="00C1355E" w:rsidRPr="004B24E7" w:rsidRDefault="00C1355E" w:rsidP="00E568B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£1,015m</w:t>
            </w:r>
          </w:p>
        </w:tc>
      </w:tr>
    </w:tbl>
    <w:p w14:paraId="5A89ACD7" w14:textId="77777777" w:rsidR="00C1355E" w:rsidRPr="00242933" w:rsidRDefault="00C1355E" w:rsidP="00C1355E">
      <w:pPr>
        <w:rPr>
          <w:rFonts w:ascii="Arial" w:hAnsi="Arial" w:cs="Arial"/>
          <w:szCs w:val="24"/>
        </w:rPr>
      </w:pPr>
      <w:r w:rsidRPr="0007752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242933">
        <w:rPr>
          <w:rFonts w:ascii="Arial" w:hAnsi="Arial" w:cs="Arial"/>
          <w:szCs w:val="24"/>
        </w:rPr>
        <w:t>2021-22 funding awarded through the Community Renewal Fund (the pilot for the UKSPF)</w:t>
      </w:r>
    </w:p>
    <w:p w14:paraId="0DFC3BCB" w14:textId="77777777" w:rsidR="00C1355E" w:rsidRDefault="00C1355E" w:rsidP="001E5DE7">
      <w:pPr>
        <w:spacing w:after="200"/>
        <w:contextualSpacing/>
        <w:rPr>
          <w:rFonts w:ascii="Arial" w:hAnsi="Arial" w:cs="Arial"/>
          <w:color w:val="000000"/>
          <w:sz w:val="24"/>
          <w:szCs w:val="24"/>
        </w:rPr>
      </w:pPr>
    </w:p>
    <w:p w14:paraId="6AA25D40" w14:textId="230E7DE8" w:rsidR="001E5DE7" w:rsidRDefault="001E5DE7" w:rsidP="001E5DE7">
      <w:pPr>
        <w:spacing w:after="200"/>
        <w:contextualSpacing/>
        <w:rPr>
          <w:rFonts w:ascii="Arial" w:hAnsi="Arial" w:cs="Arial"/>
          <w:color w:val="000000"/>
          <w:sz w:val="24"/>
          <w:szCs w:val="24"/>
        </w:rPr>
      </w:pPr>
      <w:r w:rsidRPr="008A3404">
        <w:rPr>
          <w:rFonts w:ascii="Arial" w:hAnsi="Arial" w:cs="Arial"/>
          <w:color w:val="000000"/>
          <w:sz w:val="24"/>
          <w:szCs w:val="24"/>
        </w:rPr>
        <w:t xml:space="preserve">This figure </w:t>
      </w:r>
      <w:r>
        <w:rPr>
          <w:rFonts w:ascii="Arial" w:hAnsi="Arial" w:cs="Arial"/>
          <w:color w:val="000000"/>
          <w:sz w:val="24"/>
          <w:szCs w:val="24"/>
        </w:rPr>
        <w:t xml:space="preserve">consists </w:t>
      </w:r>
      <w:r w:rsidRPr="008A3404">
        <w:rPr>
          <w:rFonts w:ascii="Arial" w:hAnsi="Arial" w:cs="Arial"/>
          <w:color w:val="000000"/>
          <w:sz w:val="24"/>
          <w:szCs w:val="24"/>
        </w:rPr>
        <w:t>of £42m</w:t>
      </w:r>
      <w:r w:rsidR="00375B8A">
        <w:rPr>
          <w:rFonts w:ascii="Arial" w:hAnsi="Arial" w:cs="Arial"/>
          <w:color w:val="000000"/>
          <w:sz w:val="24"/>
          <w:szCs w:val="24"/>
        </w:rPr>
        <w:t>,</w:t>
      </w:r>
      <w:r w:rsidR="00E332FF">
        <w:rPr>
          <w:rFonts w:ascii="Arial" w:hAnsi="Arial" w:cs="Arial"/>
          <w:color w:val="000000"/>
          <w:sz w:val="24"/>
          <w:szCs w:val="24"/>
        </w:rPr>
        <w:t xml:space="preserve"> which we</w:t>
      </w:r>
      <w:r w:rsidRPr="008A3404">
        <w:rPr>
          <w:rFonts w:ascii="Arial" w:hAnsi="Arial" w:cs="Arial"/>
          <w:color w:val="000000"/>
          <w:sz w:val="24"/>
          <w:szCs w:val="24"/>
        </w:rPr>
        <w:t xml:space="preserve"> transferred from CAP Pillar 1 into </w:t>
      </w:r>
      <w:r>
        <w:rPr>
          <w:rFonts w:ascii="Arial" w:hAnsi="Arial" w:cs="Arial"/>
          <w:color w:val="000000"/>
          <w:sz w:val="24"/>
          <w:szCs w:val="24"/>
        </w:rPr>
        <w:t xml:space="preserve">our Pillar 2 Rural Development </w:t>
      </w:r>
      <w:r w:rsidR="00E332FF">
        <w:rPr>
          <w:rFonts w:ascii="Arial" w:hAnsi="Arial" w:cs="Arial"/>
          <w:color w:val="000000"/>
          <w:sz w:val="24"/>
          <w:szCs w:val="24"/>
        </w:rPr>
        <w:t>Programme</w:t>
      </w:r>
      <w:r w:rsidRPr="008A3404">
        <w:rPr>
          <w:rFonts w:ascii="Arial" w:hAnsi="Arial" w:cs="Arial"/>
          <w:color w:val="000000"/>
          <w:sz w:val="24"/>
          <w:szCs w:val="24"/>
        </w:rPr>
        <w:t xml:space="preserve"> in 2020</w:t>
      </w:r>
      <w:r w:rsidR="003C4505">
        <w:rPr>
          <w:rFonts w:ascii="Arial" w:hAnsi="Arial" w:cs="Arial"/>
          <w:color w:val="000000"/>
          <w:sz w:val="24"/>
          <w:szCs w:val="24"/>
        </w:rPr>
        <w:t>,</w:t>
      </w:r>
      <w:r w:rsidRPr="008A3404">
        <w:rPr>
          <w:rFonts w:ascii="Arial" w:hAnsi="Arial" w:cs="Arial"/>
          <w:color w:val="000000"/>
          <w:sz w:val="24"/>
          <w:szCs w:val="24"/>
        </w:rPr>
        <w:t xml:space="preserve"> which</w:t>
      </w:r>
      <w:r w:rsidR="00E332FF">
        <w:rPr>
          <w:rFonts w:ascii="Arial" w:hAnsi="Arial" w:cs="Arial"/>
          <w:color w:val="000000"/>
          <w:sz w:val="24"/>
          <w:szCs w:val="24"/>
        </w:rPr>
        <w:t xml:space="preserve"> the UK Government </w:t>
      </w:r>
      <w:r w:rsidR="00375B8A">
        <w:rPr>
          <w:rFonts w:ascii="Arial" w:hAnsi="Arial" w:cs="Arial"/>
          <w:color w:val="000000"/>
          <w:sz w:val="24"/>
          <w:szCs w:val="24"/>
        </w:rPr>
        <w:t xml:space="preserve">has </w:t>
      </w:r>
      <w:r w:rsidR="00E332FF">
        <w:rPr>
          <w:rFonts w:ascii="Arial" w:hAnsi="Arial" w:cs="Arial"/>
          <w:color w:val="000000"/>
          <w:sz w:val="24"/>
          <w:szCs w:val="24"/>
        </w:rPr>
        <w:t>not provided</w:t>
      </w:r>
      <w:r w:rsidR="00375B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8A3404">
        <w:rPr>
          <w:rFonts w:ascii="Arial" w:hAnsi="Arial" w:cs="Arial"/>
          <w:color w:val="000000"/>
          <w:sz w:val="24"/>
          <w:szCs w:val="24"/>
        </w:rPr>
        <w:t>and £9</w:t>
      </w:r>
      <w:r w:rsidR="00D948FA">
        <w:rPr>
          <w:rFonts w:ascii="Arial" w:hAnsi="Arial" w:cs="Arial"/>
          <w:color w:val="000000"/>
          <w:sz w:val="24"/>
          <w:szCs w:val="24"/>
        </w:rPr>
        <w:t>5</w:t>
      </w:r>
      <w:r w:rsidRPr="008A3404">
        <w:rPr>
          <w:rFonts w:ascii="Arial" w:hAnsi="Arial" w:cs="Arial"/>
          <w:color w:val="000000"/>
          <w:sz w:val="24"/>
          <w:szCs w:val="24"/>
        </w:rPr>
        <w:t xml:space="preserve">m of </w:t>
      </w:r>
      <w:r w:rsidRPr="008A3404">
        <w:rPr>
          <w:rFonts w:ascii="Arial" w:hAnsi="Arial" w:cs="Arial"/>
          <w:color w:val="000000"/>
          <w:sz w:val="24"/>
          <w:szCs w:val="24"/>
        </w:rPr>
        <w:lastRenderedPageBreak/>
        <w:t>EU receipts netted off replacement EU funding</w:t>
      </w:r>
      <w:r>
        <w:rPr>
          <w:rFonts w:ascii="Arial" w:hAnsi="Arial" w:cs="Arial"/>
          <w:color w:val="000000"/>
          <w:sz w:val="24"/>
          <w:szCs w:val="24"/>
        </w:rPr>
        <w:t xml:space="preserve"> in 2021-22,</w:t>
      </w:r>
      <w:r w:rsidRPr="008A3404">
        <w:rPr>
          <w:rFonts w:ascii="Arial" w:hAnsi="Arial" w:cs="Arial"/>
          <w:color w:val="000000"/>
          <w:sz w:val="24"/>
          <w:szCs w:val="24"/>
        </w:rPr>
        <w:t xml:space="preserve"> plus a further £106m of net</w:t>
      </w:r>
      <w:r>
        <w:rPr>
          <w:rFonts w:ascii="Arial" w:hAnsi="Arial" w:cs="Arial"/>
          <w:color w:val="000000"/>
          <w:sz w:val="24"/>
          <w:szCs w:val="24"/>
        </w:rPr>
        <w:t>ting-off confirmed in the 2021 Spending Review.</w:t>
      </w:r>
    </w:p>
    <w:p w14:paraId="71E05C54" w14:textId="4157DDC8" w:rsidR="001E5DE7" w:rsidRDefault="001E5DE7" w:rsidP="001E5DE7">
      <w:pPr>
        <w:rPr>
          <w:rFonts w:ascii="Arial" w:hAnsi="Arial" w:cs="Arial"/>
          <w:color w:val="000000"/>
          <w:sz w:val="24"/>
          <w:szCs w:val="24"/>
        </w:rPr>
      </w:pPr>
    </w:p>
    <w:p w14:paraId="3F34A6A2" w14:textId="580BFC31" w:rsidR="00234DA4" w:rsidRDefault="001E5DE7" w:rsidP="006A1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Taken together, the </w:t>
      </w:r>
      <w:r w:rsidRPr="00DB5970">
        <w:rPr>
          <w:rFonts w:ascii="Arial" w:hAnsi="Arial" w:cs="Arial"/>
          <w:bCs/>
          <w:sz w:val="24"/>
          <w:szCs w:val="24"/>
        </w:rPr>
        <w:t>£243m</w:t>
      </w:r>
      <w:r w:rsidRPr="00DB59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loss in rural funding and the £</w:t>
      </w:r>
      <w:r w:rsidR="001A5010">
        <w:rPr>
          <w:rFonts w:ascii="Arial" w:hAnsi="Arial" w:cs="Arial"/>
          <w:sz w:val="24"/>
          <w:szCs w:val="24"/>
        </w:rPr>
        <w:t>772</w:t>
      </w:r>
      <w:r>
        <w:rPr>
          <w:rFonts w:ascii="Arial" w:hAnsi="Arial" w:cs="Arial"/>
          <w:sz w:val="24"/>
          <w:szCs w:val="24"/>
        </w:rPr>
        <w:t>m shortfall in EU structural funds</w:t>
      </w:r>
      <w:r w:rsidR="00F01480">
        <w:rPr>
          <w:rFonts w:ascii="Arial" w:hAnsi="Arial" w:cs="Arial"/>
          <w:sz w:val="24"/>
          <w:szCs w:val="24"/>
        </w:rPr>
        <w:t xml:space="preserve"> </w:t>
      </w:r>
      <w:r w:rsidR="00375B8A">
        <w:rPr>
          <w:rFonts w:ascii="Arial" w:hAnsi="Arial" w:cs="Arial"/>
          <w:sz w:val="24"/>
          <w:szCs w:val="24"/>
        </w:rPr>
        <w:t xml:space="preserve">(table 2) </w:t>
      </w:r>
      <w:r w:rsidR="00216167">
        <w:rPr>
          <w:rFonts w:ascii="Arial" w:hAnsi="Arial" w:cs="Arial"/>
          <w:sz w:val="24"/>
          <w:szCs w:val="24"/>
        </w:rPr>
        <w:t>add up to</w:t>
      </w:r>
      <w:r w:rsidRPr="00D14EFC">
        <w:rPr>
          <w:rFonts w:ascii="Arial" w:hAnsi="Arial" w:cs="Arial"/>
          <w:sz w:val="24"/>
          <w:szCs w:val="24"/>
        </w:rPr>
        <w:t xml:space="preserve"> </w:t>
      </w:r>
      <w:r w:rsidR="00950D7B">
        <w:rPr>
          <w:rFonts w:ascii="Arial" w:hAnsi="Arial" w:cs="Arial"/>
          <w:sz w:val="24"/>
          <w:szCs w:val="24"/>
        </w:rPr>
        <w:t xml:space="preserve">just more than </w:t>
      </w:r>
      <w:r w:rsidR="008F330D">
        <w:rPr>
          <w:rFonts w:ascii="Arial" w:hAnsi="Arial" w:cs="Arial"/>
          <w:b/>
          <w:bCs/>
          <w:sz w:val="24"/>
          <w:szCs w:val="24"/>
        </w:rPr>
        <w:t>£1bn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954E8">
        <w:rPr>
          <w:rFonts w:ascii="Arial" w:hAnsi="Arial" w:cs="Arial"/>
          <w:sz w:val="24"/>
          <w:szCs w:val="24"/>
        </w:rPr>
        <w:t>Applying</w:t>
      </w:r>
      <w:r w:rsidR="00DF285F">
        <w:rPr>
          <w:rFonts w:ascii="Arial" w:hAnsi="Arial" w:cs="Arial"/>
          <w:sz w:val="24"/>
          <w:szCs w:val="24"/>
        </w:rPr>
        <w:t xml:space="preserve"> the same inflation adjustment to </w:t>
      </w:r>
      <w:r w:rsidR="009F6C96">
        <w:rPr>
          <w:rFonts w:ascii="Arial" w:hAnsi="Arial" w:cs="Arial"/>
          <w:sz w:val="24"/>
          <w:szCs w:val="24"/>
        </w:rPr>
        <w:t xml:space="preserve">rural funding as </w:t>
      </w:r>
      <w:r w:rsidR="009E7E61">
        <w:rPr>
          <w:rFonts w:ascii="Arial" w:hAnsi="Arial" w:cs="Arial"/>
          <w:sz w:val="24"/>
          <w:szCs w:val="24"/>
        </w:rPr>
        <w:t xml:space="preserve">to the structural funds, </w:t>
      </w:r>
      <w:r w:rsidR="00EE3425">
        <w:rPr>
          <w:rFonts w:ascii="Arial" w:hAnsi="Arial" w:cs="Arial"/>
          <w:sz w:val="24"/>
          <w:szCs w:val="24"/>
        </w:rPr>
        <w:t xml:space="preserve">the </w:t>
      </w:r>
      <w:r w:rsidR="00D329BF">
        <w:rPr>
          <w:rFonts w:ascii="Arial" w:hAnsi="Arial" w:cs="Arial"/>
          <w:sz w:val="24"/>
          <w:szCs w:val="24"/>
        </w:rPr>
        <w:t xml:space="preserve">overall </w:t>
      </w:r>
      <w:r w:rsidR="00EE3425">
        <w:rPr>
          <w:rFonts w:ascii="Arial" w:hAnsi="Arial" w:cs="Arial"/>
          <w:sz w:val="24"/>
          <w:szCs w:val="24"/>
        </w:rPr>
        <w:t xml:space="preserve">shortfall </w:t>
      </w:r>
      <w:r w:rsidR="00D513AC">
        <w:rPr>
          <w:rFonts w:ascii="Arial" w:hAnsi="Arial" w:cs="Arial"/>
          <w:sz w:val="24"/>
          <w:szCs w:val="24"/>
        </w:rPr>
        <w:t xml:space="preserve">to the Welsh budget </w:t>
      </w:r>
      <w:r w:rsidR="007954E8">
        <w:rPr>
          <w:rFonts w:ascii="Arial" w:hAnsi="Arial" w:cs="Arial"/>
          <w:sz w:val="24"/>
          <w:szCs w:val="24"/>
        </w:rPr>
        <w:t xml:space="preserve">is </w:t>
      </w:r>
      <w:r w:rsidR="00950D7B">
        <w:rPr>
          <w:rFonts w:ascii="Arial" w:hAnsi="Arial" w:cs="Arial"/>
          <w:sz w:val="24"/>
          <w:szCs w:val="24"/>
        </w:rPr>
        <w:t xml:space="preserve">more than </w:t>
      </w:r>
      <w:r w:rsidR="00AE177A" w:rsidRPr="00820D61">
        <w:rPr>
          <w:rFonts w:ascii="Arial" w:hAnsi="Arial" w:cs="Arial"/>
          <w:b/>
          <w:bCs/>
          <w:sz w:val="24"/>
          <w:szCs w:val="24"/>
        </w:rPr>
        <w:t>£1.1bn</w:t>
      </w:r>
      <w:r w:rsidR="00AE177A">
        <w:rPr>
          <w:rFonts w:ascii="Arial" w:hAnsi="Arial" w:cs="Arial"/>
          <w:sz w:val="24"/>
          <w:szCs w:val="24"/>
        </w:rPr>
        <w:t>.</w:t>
      </w:r>
    </w:p>
    <w:p w14:paraId="2CC6049C" w14:textId="77777777" w:rsidR="00C51809" w:rsidRDefault="00C51809" w:rsidP="006A1FBE">
      <w:pPr>
        <w:rPr>
          <w:rFonts w:ascii="Arial" w:hAnsi="Arial" w:cs="Arial"/>
          <w:sz w:val="24"/>
          <w:szCs w:val="24"/>
        </w:rPr>
      </w:pPr>
    </w:p>
    <w:p w14:paraId="1C1F81B5" w14:textId="655D111D" w:rsidR="00A55D60" w:rsidRDefault="00E84A87" w:rsidP="006A1F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E5DE7" w:rsidRPr="00D14EFC">
        <w:rPr>
          <w:rFonts w:ascii="Arial" w:hAnsi="Arial" w:cs="Arial"/>
          <w:sz w:val="24"/>
          <w:szCs w:val="24"/>
        </w:rPr>
        <w:t>h</w:t>
      </w:r>
      <w:r w:rsidR="006207B5">
        <w:rPr>
          <w:rFonts w:ascii="Arial" w:hAnsi="Arial" w:cs="Arial"/>
          <w:sz w:val="24"/>
          <w:szCs w:val="24"/>
        </w:rPr>
        <w:t>ese</w:t>
      </w:r>
      <w:r w:rsidR="001E5DE7" w:rsidRPr="00D14EFC">
        <w:rPr>
          <w:rFonts w:ascii="Arial" w:hAnsi="Arial" w:cs="Arial"/>
          <w:sz w:val="24"/>
          <w:szCs w:val="24"/>
        </w:rPr>
        <w:t xml:space="preserve"> figure</w:t>
      </w:r>
      <w:r w:rsidR="006207B5">
        <w:rPr>
          <w:rFonts w:ascii="Arial" w:hAnsi="Arial" w:cs="Arial"/>
          <w:sz w:val="24"/>
          <w:szCs w:val="24"/>
        </w:rPr>
        <w:t>s</w:t>
      </w:r>
      <w:r w:rsidR="001E5DE7" w:rsidRPr="00D14EFC">
        <w:rPr>
          <w:rFonts w:ascii="Arial" w:hAnsi="Arial" w:cs="Arial"/>
          <w:sz w:val="24"/>
          <w:szCs w:val="24"/>
        </w:rPr>
        <w:t xml:space="preserve"> do not </w:t>
      </w:r>
      <w:proofErr w:type="gramStart"/>
      <w:r w:rsidR="001E5DE7" w:rsidRPr="00D14EFC">
        <w:rPr>
          <w:rFonts w:ascii="Arial" w:hAnsi="Arial" w:cs="Arial"/>
          <w:sz w:val="24"/>
          <w:szCs w:val="24"/>
        </w:rPr>
        <w:t>take into account</w:t>
      </w:r>
      <w:proofErr w:type="gramEnd"/>
      <w:r w:rsidR="001E5DE7" w:rsidRPr="00D14EFC">
        <w:rPr>
          <w:rFonts w:ascii="Arial" w:hAnsi="Arial" w:cs="Arial"/>
          <w:sz w:val="24"/>
          <w:szCs w:val="24"/>
        </w:rPr>
        <w:t xml:space="preserve"> the losses of funding from </w:t>
      </w:r>
      <w:r w:rsidR="007976AA">
        <w:rPr>
          <w:rFonts w:ascii="Arial" w:hAnsi="Arial" w:cs="Arial"/>
          <w:sz w:val="24"/>
          <w:szCs w:val="24"/>
        </w:rPr>
        <w:t>our access to other EU funding programmes</w:t>
      </w:r>
      <w:r>
        <w:rPr>
          <w:rFonts w:ascii="Arial" w:hAnsi="Arial" w:cs="Arial"/>
          <w:sz w:val="24"/>
          <w:szCs w:val="24"/>
        </w:rPr>
        <w:t>,</w:t>
      </w:r>
      <w:r w:rsidR="007976AA">
        <w:rPr>
          <w:rFonts w:ascii="Arial" w:hAnsi="Arial" w:cs="Arial"/>
          <w:sz w:val="24"/>
          <w:szCs w:val="24"/>
        </w:rPr>
        <w:t xml:space="preserve"> including </w:t>
      </w:r>
      <w:r w:rsidR="001E5DE7" w:rsidRPr="00D14EFC">
        <w:rPr>
          <w:rFonts w:ascii="Arial" w:hAnsi="Arial" w:cs="Arial"/>
          <w:sz w:val="24"/>
          <w:szCs w:val="24"/>
        </w:rPr>
        <w:t>Erasmus, Horizon</w:t>
      </w:r>
      <w:r>
        <w:rPr>
          <w:rFonts w:ascii="Arial" w:hAnsi="Arial" w:cs="Arial"/>
          <w:sz w:val="24"/>
          <w:szCs w:val="24"/>
        </w:rPr>
        <w:t xml:space="preserve"> and </w:t>
      </w:r>
      <w:r w:rsidR="00370319">
        <w:rPr>
          <w:rFonts w:ascii="Arial" w:hAnsi="Arial" w:cs="Arial"/>
          <w:sz w:val="24"/>
          <w:szCs w:val="24"/>
        </w:rPr>
        <w:t>European Territorial Co-operation</w:t>
      </w:r>
      <w:r w:rsidR="001E5DE7" w:rsidRPr="00D14EFC">
        <w:rPr>
          <w:rFonts w:ascii="Arial" w:hAnsi="Arial" w:cs="Arial"/>
          <w:sz w:val="24"/>
          <w:szCs w:val="24"/>
        </w:rPr>
        <w:t xml:space="preserve"> which have not been fully replaced</w:t>
      </w:r>
      <w:r w:rsidR="001E5DE7">
        <w:rPr>
          <w:rFonts w:ascii="Arial" w:hAnsi="Arial" w:cs="Arial"/>
          <w:sz w:val="24"/>
          <w:szCs w:val="24"/>
        </w:rPr>
        <w:t xml:space="preserve"> by the UK Government</w:t>
      </w:r>
      <w:r w:rsidR="001E5DE7" w:rsidRPr="00D14EFC">
        <w:rPr>
          <w:rFonts w:ascii="Arial" w:hAnsi="Arial" w:cs="Arial"/>
          <w:sz w:val="24"/>
          <w:szCs w:val="24"/>
        </w:rPr>
        <w:t>.</w:t>
      </w:r>
    </w:p>
    <w:p w14:paraId="05315F2D" w14:textId="521CE756" w:rsidR="00730902" w:rsidRDefault="00730902" w:rsidP="006A1FBE">
      <w:pPr>
        <w:rPr>
          <w:rFonts w:ascii="Arial" w:hAnsi="Arial" w:cs="Arial"/>
          <w:sz w:val="24"/>
          <w:szCs w:val="24"/>
        </w:rPr>
      </w:pPr>
    </w:p>
    <w:p w14:paraId="3FBCA412" w14:textId="3E667088" w:rsidR="00C51809" w:rsidRDefault="00C51809" w:rsidP="00C51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less say over less money </w:t>
      </w:r>
      <w:r w:rsidRPr="009D447F">
        <w:rPr>
          <w:rFonts w:ascii="Arial" w:hAnsi="Arial" w:cs="Arial"/>
          <w:sz w:val="24"/>
          <w:szCs w:val="24"/>
        </w:rPr>
        <w:t xml:space="preserve">means there will be hard decisions to make for the Welsh Government and other institutions across business, higher </w:t>
      </w:r>
      <w:proofErr w:type="gramStart"/>
      <w:r w:rsidRPr="009D447F">
        <w:rPr>
          <w:rFonts w:ascii="Arial" w:hAnsi="Arial" w:cs="Arial"/>
          <w:sz w:val="24"/>
          <w:szCs w:val="24"/>
        </w:rPr>
        <w:t>education</w:t>
      </w:r>
      <w:proofErr w:type="gramEnd"/>
      <w:r w:rsidRPr="009D447F">
        <w:rPr>
          <w:rFonts w:ascii="Arial" w:hAnsi="Arial" w:cs="Arial"/>
          <w:sz w:val="24"/>
          <w:szCs w:val="24"/>
        </w:rPr>
        <w:t xml:space="preserve"> and further </w:t>
      </w:r>
      <w:r>
        <w:rPr>
          <w:rFonts w:ascii="Arial" w:hAnsi="Arial" w:cs="Arial"/>
          <w:sz w:val="24"/>
          <w:szCs w:val="24"/>
        </w:rPr>
        <w:t>education, and the third sector</w:t>
      </w:r>
      <w:r w:rsidRPr="00C518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who have used Structural </w:t>
      </w:r>
      <w:r w:rsidR="00807147">
        <w:rPr>
          <w:rFonts w:ascii="Arial" w:hAnsi="Arial" w:cs="Arial"/>
          <w:sz w:val="24"/>
          <w:szCs w:val="24"/>
        </w:rPr>
        <w:t xml:space="preserve">and Investment </w:t>
      </w:r>
      <w:r>
        <w:rPr>
          <w:rFonts w:ascii="Arial" w:hAnsi="Arial" w:cs="Arial"/>
          <w:sz w:val="24"/>
          <w:szCs w:val="24"/>
        </w:rPr>
        <w:t>Funds to support vital investments in research and innovation, business competitiveness, skills, employability, zero-carbon, sustainable communities, infrastructure and connectivity, and support for vulnerable people.</w:t>
      </w:r>
      <w:r w:rsidR="00E84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These sectors have already </w:t>
      </w:r>
      <w:r w:rsidRPr="0007585F">
        <w:rPr>
          <w:rFonts w:ascii="Arial" w:hAnsi="Arial" w:cs="Arial"/>
          <w:sz w:val="24"/>
          <w:szCs w:val="24"/>
        </w:rPr>
        <w:t>rais</w:t>
      </w:r>
      <w:r>
        <w:rPr>
          <w:rFonts w:ascii="Arial" w:hAnsi="Arial" w:cs="Arial"/>
          <w:sz w:val="24"/>
          <w:szCs w:val="24"/>
        </w:rPr>
        <w:t>ed</w:t>
      </w:r>
      <w:r w:rsidRPr="0007585F">
        <w:rPr>
          <w:rFonts w:ascii="Arial" w:hAnsi="Arial" w:cs="Arial"/>
          <w:sz w:val="24"/>
          <w:szCs w:val="24"/>
        </w:rPr>
        <w:t xml:space="preserve"> concerns </w:t>
      </w:r>
      <w:r>
        <w:rPr>
          <w:rFonts w:ascii="Arial" w:hAnsi="Arial" w:cs="Arial"/>
          <w:sz w:val="24"/>
          <w:szCs w:val="24"/>
        </w:rPr>
        <w:t xml:space="preserve">with the Welsh Government </w:t>
      </w:r>
      <w:r w:rsidRPr="0007585F">
        <w:rPr>
          <w:rFonts w:ascii="Arial" w:hAnsi="Arial" w:cs="Arial"/>
          <w:sz w:val="24"/>
          <w:szCs w:val="24"/>
        </w:rPr>
        <w:t>abou</w:t>
      </w:r>
      <w:r>
        <w:rPr>
          <w:rFonts w:ascii="Arial" w:hAnsi="Arial" w:cs="Arial"/>
          <w:sz w:val="24"/>
          <w:szCs w:val="24"/>
        </w:rPr>
        <w:t xml:space="preserve">t the </w:t>
      </w:r>
      <w:r w:rsidRPr="0007585F">
        <w:rPr>
          <w:rFonts w:ascii="Arial" w:hAnsi="Arial" w:cs="Arial"/>
          <w:sz w:val="24"/>
          <w:szCs w:val="24"/>
        </w:rPr>
        <w:t xml:space="preserve">funding gaps </w:t>
      </w:r>
      <w:r>
        <w:rPr>
          <w:rFonts w:ascii="Arial" w:hAnsi="Arial" w:cs="Arial"/>
          <w:sz w:val="24"/>
          <w:szCs w:val="24"/>
        </w:rPr>
        <w:t xml:space="preserve">they </w:t>
      </w:r>
      <w:r w:rsidRPr="0007585F">
        <w:rPr>
          <w:rFonts w:ascii="Arial" w:hAnsi="Arial" w:cs="Arial"/>
          <w:sz w:val="24"/>
          <w:szCs w:val="24"/>
        </w:rPr>
        <w:t>fac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the UK Government’s actions</w:t>
      </w:r>
      <w:r w:rsidRPr="0007585F">
        <w:rPr>
          <w:rFonts w:ascii="Arial" w:hAnsi="Arial" w:cs="Arial"/>
          <w:sz w:val="24"/>
          <w:szCs w:val="24"/>
        </w:rPr>
        <w:t>.</w:t>
      </w:r>
    </w:p>
    <w:p w14:paraId="42EF227A" w14:textId="77777777" w:rsidR="00C51809" w:rsidRDefault="00C51809" w:rsidP="00C51809">
      <w:pPr>
        <w:rPr>
          <w:rFonts w:ascii="Arial" w:hAnsi="Arial" w:cs="Arial"/>
          <w:sz w:val="24"/>
          <w:szCs w:val="24"/>
        </w:rPr>
      </w:pPr>
    </w:p>
    <w:p w14:paraId="39E3AB9B" w14:textId="181BCC77" w:rsidR="00730902" w:rsidRDefault="00730902" w:rsidP="006A1FBE">
      <w:pPr>
        <w:rPr>
          <w:rFonts w:ascii="Arial" w:hAnsi="Arial" w:cs="Arial"/>
          <w:color w:val="000000"/>
          <w:sz w:val="24"/>
          <w:szCs w:val="24"/>
        </w:rPr>
      </w:pPr>
      <w:r w:rsidRPr="00730902">
        <w:rPr>
          <w:rFonts w:ascii="Arial" w:hAnsi="Arial" w:cs="Arial"/>
          <w:color w:val="000000"/>
          <w:sz w:val="24"/>
          <w:szCs w:val="24"/>
        </w:rPr>
        <w:t xml:space="preserve">The UK Government's decision to bypass </w:t>
      </w:r>
      <w:r w:rsidR="00A85A51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730902">
        <w:rPr>
          <w:rFonts w:ascii="Arial" w:hAnsi="Arial" w:cs="Arial"/>
          <w:color w:val="000000"/>
          <w:sz w:val="24"/>
          <w:szCs w:val="24"/>
        </w:rPr>
        <w:t xml:space="preserve">Welsh Government and directly allocate replacement EU funding, at a </w:t>
      </w:r>
      <w:r w:rsidR="00D513AC">
        <w:rPr>
          <w:rFonts w:ascii="Arial" w:hAnsi="Arial" w:cs="Arial"/>
          <w:color w:val="000000"/>
          <w:sz w:val="24"/>
          <w:szCs w:val="24"/>
        </w:rPr>
        <w:t xml:space="preserve">dramatically </w:t>
      </w:r>
      <w:r w:rsidRPr="00730902">
        <w:rPr>
          <w:rFonts w:ascii="Arial" w:hAnsi="Arial" w:cs="Arial"/>
          <w:color w:val="000000"/>
          <w:sz w:val="24"/>
          <w:szCs w:val="24"/>
        </w:rPr>
        <w:t xml:space="preserve">diminished level, through UK-wide funds is not only an assault on devolution in Wales, but as the figures in this statement clearly show, also a failure to meet repeated promises that Wales "will not be a penny worse off" </w:t>
      </w:r>
      <w:r w:rsidR="00E84A87">
        <w:rPr>
          <w:rFonts w:ascii="Arial" w:hAnsi="Arial" w:cs="Arial"/>
          <w:color w:val="000000"/>
          <w:sz w:val="24"/>
          <w:szCs w:val="24"/>
        </w:rPr>
        <w:t xml:space="preserve">after the UK left </w:t>
      </w:r>
      <w:r w:rsidRPr="00730902">
        <w:rPr>
          <w:rFonts w:ascii="Arial" w:hAnsi="Arial" w:cs="Arial"/>
          <w:color w:val="000000"/>
          <w:sz w:val="24"/>
          <w:szCs w:val="24"/>
        </w:rPr>
        <w:t>the EU.</w:t>
      </w:r>
    </w:p>
    <w:p w14:paraId="7A709B3A" w14:textId="77777777" w:rsidR="00A55D60" w:rsidRDefault="00A55D60" w:rsidP="006A1FBE">
      <w:pPr>
        <w:rPr>
          <w:rFonts w:ascii="Arial" w:hAnsi="Arial" w:cs="Arial"/>
          <w:sz w:val="24"/>
          <w:szCs w:val="24"/>
        </w:rPr>
      </w:pPr>
    </w:p>
    <w:p w14:paraId="5C117755" w14:textId="77777777" w:rsidR="006207B5" w:rsidRPr="00D14EFC" w:rsidRDefault="006207B5" w:rsidP="006A1FBE">
      <w:pPr>
        <w:rPr>
          <w:rFonts w:ascii="Arial" w:hAnsi="Arial" w:cs="Arial"/>
          <w:sz w:val="24"/>
          <w:szCs w:val="24"/>
        </w:rPr>
      </w:pPr>
    </w:p>
    <w:p w14:paraId="262A3C31" w14:textId="3EC98126" w:rsidR="00AB30E3" w:rsidRDefault="00AB30E3" w:rsidP="002C4356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14:paraId="536C663F" w14:textId="5342685A" w:rsidR="008A3404" w:rsidRPr="008B3C6E" w:rsidRDefault="008A3404" w:rsidP="002C4356">
      <w:p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sectPr w:rsidR="008A3404" w:rsidRPr="008B3C6E" w:rsidSect="0076264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B9E7" w14:textId="77777777" w:rsidR="00FD2CD1" w:rsidRDefault="00FD2CD1">
      <w:r>
        <w:separator/>
      </w:r>
    </w:p>
  </w:endnote>
  <w:endnote w:type="continuationSeparator" w:id="0">
    <w:p w14:paraId="64149A33" w14:textId="77777777" w:rsidR="00FD2CD1" w:rsidRDefault="00F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5E95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6" w14:textId="04B87DA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55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25E95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B" w14:textId="1F01181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1355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B25E95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4F816" w14:textId="77777777" w:rsidR="00FD2CD1" w:rsidRDefault="00FD2CD1">
      <w:r>
        <w:separator/>
      </w:r>
    </w:p>
  </w:footnote>
  <w:footnote w:type="continuationSeparator" w:id="0">
    <w:p w14:paraId="471BCE24" w14:textId="77777777" w:rsidR="00FD2CD1" w:rsidRDefault="00FD2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E9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B25E95D" wp14:editId="6B25E95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5E959" w14:textId="77777777" w:rsidR="00DD4B82" w:rsidRDefault="00DD4B82">
    <w:pPr>
      <w:pStyle w:val="Header"/>
    </w:pPr>
  </w:p>
  <w:p w14:paraId="6B25E95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0DD"/>
    <w:multiLevelType w:val="hybridMultilevel"/>
    <w:tmpl w:val="DD6E4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34814"/>
    <w:multiLevelType w:val="hybridMultilevel"/>
    <w:tmpl w:val="C9B0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65592"/>
    <w:multiLevelType w:val="hybridMultilevel"/>
    <w:tmpl w:val="52BA0FA4"/>
    <w:lvl w:ilvl="0" w:tplc="7D0CAC8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EBA"/>
    <w:multiLevelType w:val="multilevel"/>
    <w:tmpl w:val="3CE8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F679C"/>
    <w:multiLevelType w:val="hybridMultilevel"/>
    <w:tmpl w:val="C102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00512"/>
    <w:multiLevelType w:val="multilevel"/>
    <w:tmpl w:val="696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B003FB"/>
    <w:multiLevelType w:val="hybridMultilevel"/>
    <w:tmpl w:val="A48E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157D1"/>
    <w:multiLevelType w:val="multilevel"/>
    <w:tmpl w:val="5E60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9F3D7E"/>
    <w:multiLevelType w:val="hybridMultilevel"/>
    <w:tmpl w:val="B7F2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4272"/>
    <w:multiLevelType w:val="hybridMultilevel"/>
    <w:tmpl w:val="8D1C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811"/>
    <w:multiLevelType w:val="hybridMultilevel"/>
    <w:tmpl w:val="D5C8E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B6E8D"/>
    <w:multiLevelType w:val="hybridMultilevel"/>
    <w:tmpl w:val="8404F0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0D6A"/>
    <w:multiLevelType w:val="hybridMultilevel"/>
    <w:tmpl w:val="A85A3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467A1"/>
    <w:multiLevelType w:val="multilevel"/>
    <w:tmpl w:val="BE4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9254691">
    <w:abstractNumId w:val="5"/>
  </w:num>
  <w:num w:numId="2" w16cid:durableId="386144792">
    <w:abstractNumId w:val="12"/>
  </w:num>
  <w:num w:numId="3" w16cid:durableId="2044548857">
    <w:abstractNumId w:val="2"/>
  </w:num>
  <w:num w:numId="4" w16cid:durableId="1372223564">
    <w:abstractNumId w:val="0"/>
  </w:num>
  <w:num w:numId="5" w16cid:durableId="991065127">
    <w:abstractNumId w:val="3"/>
  </w:num>
  <w:num w:numId="6" w16cid:durableId="478612282">
    <w:abstractNumId w:val="4"/>
  </w:num>
  <w:num w:numId="7" w16cid:durableId="1191646910">
    <w:abstractNumId w:val="14"/>
  </w:num>
  <w:num w:numId="8" w16cid:durableId="984238579">
    <w:abstractNumId w:val="6"/>
  </w:num>
  <w:num w:numId="9" w16cid:durableId="498077433">
    <w:abstractNumId w:val="8"/>
  </w:num>
  <w:num w:numId="10" w16cid:durableId="2026176874">
    <w:abstractNumId w:val="13"/>
  </w:num>
  <w:num w:numId="11" w16cid:durableId="1864900603">
    <w:abstractNumId w:val="1"/>
  </w:num>
  <w:num w:numId="12" w16cid:durableId="1403285957">
    <w:abstractNumId w:val="7"/>
  </w:num>
  <w:num w:numId="13" w16cid:durableId="148837901">
    <w:abstractNumId w:val="10"/>
  </w:num>
  <w:num w:numId="14" w16cid:durableId="2050952920">
    <w:abstractNumId w:val="9"/>
  </w:num>
  <w:num w:numId="15" w16cid:durableId="134420201">
    <w:abstractNumId w:val="11"/>
  </w:num>
  <w:num w:numId="16" w16cid:durableId="284388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DD9"/>
    <w:rsid w:val="00016BE8"/>
    <w:rsid w:val="00017991"/>
    <w:rsid w:val="00023B69"/>
    <w:rsid w:val="000250FB"/>
    <w:rsid w:val="00027D16"/>
    <w:rsid w:val="000516D9"/>
    <w:rsid w:val="00055D61"/>
    <w:rsid w:val="000566D3"/>
    <w:rsid w:val="000573E0"/>
    <w:rsid w:val="0006774B"/>
    <w:rsid w:val="00067CD9"/>
    <w:rsid w:val="000724AD"/>
    <w:rsid w:val="0007752A"/>
    <w:rsid w:val="00077937"/>
    <w:rsid w:val="00082449"/>
    <w:rsid w:val="00082B81"/>
    <w:rsid w:val="00090C3D"/>
    <w:rsid w:val="00091921"/>
    <w:rsid w:val="00095C23"/>
    <w:rsid w:val="00097118"/>
    <w:rsid w:val="000A2389"/>
    <w:rsid w:val="000B57BC"/>
    <w:rsid w:val="000B639C"/>
    <w:rsid w:val="000B65E6"/>
    <w:rsid w:val="000C3A52"/>
    <w:rsid w:val="000C53DB"/>
    <w:rsid w:val="000C5AE5"/>
    <w:rsid w:val="000C5E9B"/>
    <w:rsid w:val="000D1B9F"/>
    <w:rsid w:val="000D2CCE"/>
    <w:rsid w:val="000D563C"/>
    <w:rsid w:val="001100CE"/>
    <w:rsid w:val="00114467"/>
    <w:rsid w:val="001207B0"/>
    <w:rsid w:val="00120FCC"/>
    <w:rsid w:val="00121EE1"/>
    <w:rsid w:val="00132279"/>
    <w:rsid w:val="00134918"/>
    <w:rsid w:val="001460B1"/>
    <w:rsid w:val="00152D9C"/>
    <w:rsid w:val="001537D1"/>
    <w:rsid w:val="00154415"/>
    <w:rsid w:val="00156F99"/>
    <w:rsid w:val="00161EDC"/>
    <w:rsid w:val="0016202F"/>
    <w:rsid w:val="0017102C"/>
    <w:rsid w:val="0019398F"/>
    <w:rsid w:val="001A2266"/>
    <w:rsid w:val="001A39E2"/>
    <w:rsid w:val="001A5010"/>
    <w:rsid w:val="001A6AF1"/>
    <w:rsid w:val="001B027C"/>
    <w:rsid w:val="001B288D"/>
    <w:rsid w:val="001B545A"/>
    <w:rsid w:val="001C3B09"/>
    <w:rsid w:val="001C532F"/>
    <w:rsid w:val="001C6523"/>
    <w:rsid w:val="001E0908"/>
    <w:rsid w:val="001E53BF"/>
    <w:rsid w:val="001E5DE7"/>
    <w:rsid w:val="001E6C53"/>
    <w:rsid w:val="001E7842"/>
    <w:rsid w:val="001F1E7E"/>
    <w:rsid w:val="001F5B4C"/>
    <w:rsid w:val="00214B25"/>
    <w:rsid w:val="00216167"/>
    <w:rsid w:val="00223E62"/>
    <w:rsid w:val="00227C0E"/>
    <w:rsid w:val="0023026C"/>
    <w:rsid w:val="00234DA4"/>
    <w:rsid w:val="00242933"/>
    <w:rsid w:val="0025177C"/>
    <w:rsid w:val="00274677"/>
    <w:rsid w:val="00274F08"/>
    <w:rsid w:val="00291B89"/>
    <w:rsid w:val="00292995"/>
    <w:rsid w:val="002939E9"/>
    <w:rsid w:val="00296E70"/>
    <w:rsid w:val="002A39E3"/>
    <w:rsid w:val="002A51C7"/>
    <w:rsid w:val="002A5310"/>
    <w:rsid w:val="002A739A"/>
    <w:rsid w:val="002A7DE5"/>
    <w:rsid w:val="002C4356"/>
    <w:rsid w:val="002C535D"/>
    <w:rsid w:val="002C57B6"/>
    <w:rsid w:val="002D0357"/>
    <w:rsid w:val="002D18BC"/>
    <w:rsid w:val="002D65A3"/>
    <w:rsid w:val="002F0EB9"/>
    <w:rsid w:val="002F53A9"/>
    <w:rsid w:val="002F74F6"/>
    <w:rsid w:val="0030402F"/>
    <w:rsid w:val="00311EEE"/>
    <w:rsid w:val="003146AA"/>
    <w:rsid w:val="00314E36"/>
    <w:rsid w:val="003220C1"/>
    <w:rsid w:val="003247C6"/>
    <w:rsid w:val="00330441"/>
    <w:rsid w:val="00342111"/>
    <w:rsid w:val="00342400"/>
    <w:rsid w:val="003556EA"/>
    <w:rsid w:val="00356D7B"/>
    <w:rsid w:val="003576F9"/>
    <w:rsid w:val="00357893"/>
    <w:rsid w:val="003670C1"/>
    <w:rsid w:val="003676BA"/>
    <w:rsid w:val="00370319"/>
    <w:rsid w:val="00370471"/>
    <w:rsid w:val="00375B8A"/>
    <w:rsid w:val="003763B1"/>
    <w:rsid w:val="0038135E"/>
    <w:rsid w:val="00385FB5"/>
    <w:rsid w:val="003A1B59"/>
    <w:rsid w:val="003A6542"/>
    <w:rsid w:val="003B09D2"/>
    <w:rsid w:val="003B1503"/>
    <w:rsid w:val="003B1662"/>
    <w:rsid w:val="003B3D64"/>
    <w:rsid w:val="003B5DF1"/>
    <w:rsid w:val="003C07F5"/>
    <w:rsid w:val="003C4505"/>
    <w:rsid w:val="003C5133"/>
    <w:rsid w:val="003D4245"/>
    <w:rsid w:val="003E2CF8"/>
    <w:rsid w:val="003F4BE6"/>
    <w:rsid w:val="00412673"/>
    <w:rsid w:val="00413278"/>
    <w:rsid w:val="00422BBA"/>
    <w:rsid w:val="0043031D"/>
    <w:rsid w:val="00432364"/>
    <w:rsid w:val="004560F1"/>
    <w:rsid w:val="00461CBD"/>
    <w:rsid w:val="00461DFF"/>
    <w:rsid w:val="00466DAA"/>
    <w:rsid w:val="0046714D"/>
    <w:rsid w:val="0046757C"/>
    <w:rsid w:val="00474D01"/>
    <w:rsid w:val="00485A6D"/>
    <w:rsid w:val="00486F60"/>
    <w:rsid w:val="004915E6"/>
    <w:rsid w:val="00495C11"/>
    <w:rsid w:val="004A1FB9"/>
    <w:rsid w:val="004A3E95"/>
    <w:rsid w:val="004A4BB2"/>
    <w:rsid w:val="004B24E7"/>
    <w:rsid w:val="004C2498"/>
    <w:rsid w:val="004C3327"/>
    <w:rsid w:val="004C5890"/>
    <w:rsid w:val="004D24B9"/>
    <w:rsid w:val="004D7677"/>
    <w:rsid w:val="004E78DB"/>
    <w:rsid w:val="004E7EF2"/>
    <w:rsid w:val="004F1379"/>
    <w:rsid w:val="004F61FA"/>
    <w:rsid w:val="00524AD7"/>
    <w:rsid w:val="00546874"/>
    <w:rsid w:val="00560F1F"/>
    <w:rsid w:val="00566FA2"/>
    <w:rsid w:val="00570838"/>
    <w:rsid w:val="00574BB3"/>
    <w:rsid w:val="005807AA"/>
    <w:rsid w:val="005973D8"/>
    <w:rsid w:val="005A22E2"/>
    <w:rsid w:val="005B030B"/>
    <w:rsid w:val="005B2DFA"/>
    <w:rsid w:val="005B535F"/>
    <w:rsid w:val="005C1B43"/>
    <w:rsid w:val="005C572D"/>
    <w:rsid w:val="005D1C03"/>
    <w:rsid w:val="005D2A41"/>
    <w:rsid w:val="005D7663"/>
    <w:rsid w:val="005F1659"/>
    <w:rsid w:val="005F229A"/>
    <w:rsid w:val="00601624"/>
    <w:rsid w:val="00603548"/>
    <w:rsid w:val="00606F5B"/>
    <w:rsid w:val="006079AF"/>
    <w:rsid w:val="006207B5"/>
    <w:rsid w:val="00630934"/>
    <w:rsid w:val="0064212C"/>
    <w:rsid w:val="00642FA6"/>
    <w:rsid w:val="006478EC"/>
    <w:rsid w:val="00651145"/>
    <w:rsid w:val="006515EB"/>
    <w:rsid w:val="00653BDA"/>
    <w:rsid w:val="00654C0A"/>
    <w:rsid w:val="006633C7"/>
    <w:rsid w:val="00663437"/>
    <w:rsid w:val="00663F04"/>
    <w:rsid w:val="00670227"/>
    <w:rsid w:val="006726F0"/>
    <w:rsid w:val="00674483"/>
    <w:rsid w:val="006814BD"/>
    <w:rsid w:val="00681BB2"/>
    <w:rsid w:val="0069133F"/>
    <w:rsid w:val="00697CE4"/>
    <w:rsid w:val="006A1FBE"/>
    <w:rsid w:val="006A3FFD"/>
    <w:rsid w:val="006B340E"/>
    <w:rsid w:val="006B461D"/>
    <w:rsid w:val="006B7449"/>
    <w:rsid w:val="006C0265"/>
    <w:rsid w:val="006C6C03"/>
    <w:rsid w:val="006D3140"/>
    <w:rsid w:val="006E0A2C"/>
    <w:rsid w:val="006E0B68"/>
    <w:rsid w:val="006F5169"/>
    <w:rsid w:val="00700774"/>
    <w:rsid w:val="00703993"/>
    <w:rsid w:val="0070677B"/>
    <w:rsid w:val="00714017"/>
    <w:rsid w:val="00716548"/>
    <w:rsid w:val="00730902"/>
    <w:rsid w:val="0073380E"/>
    <w:rsid w:val="00733BCA"/>
    <w:rsid w:val="00735DDB"/>
    <w:rsid w:val="00742258"/>
    <w:rsid w:val="00743B79"/>
    <w:rsid w:val="00746BB7"/>
    <w:rsid w:val="00750F08"/>
    <w:rsid w:val="007523BC"/>
    <w:rsid w:val="00752C48"/>
    <w:rsid w:val="00762646"/>
    <w:rsid w:val="007634F8"/>
    <w:rsid w:val="00780485"/>
    <w:rsid w:val="00781077"/>
    <w:rsid w:val="00791B2D"/>
    <w:rsid w:val="00793A2E"/>
    <w:rsid w:val="00793AF8"/>
    <w:rsid w:val="007954E8"/>
    <w:rsid w:val="007976AA"/>
    <w:rsid w:val="007A05FB"/>
    <w:rsid w:val="007A1B92"/>
    <w:rsid w:val="007A3182"/>
    <w:rsid w:val="007B5260"/>
    <w:rsid w:val="007B5E89"/>
    <w:rsid w:val="007C24E7"/>
    <w:rsid w:val="007C7F9F"/>
    <w:rsid w:val="007D1402"/>
    <w:rsid w:val="007E06F1"/>
    <w:rsid w:val="007E45ED"/>
    <w:rsid w:val="007F5E64"/>
    <w:rsid w:val="007F65FE"/>
    <w:rsid w:val="00800FA0"/>
    <w:rsid w:val="00807147"/>
    <w:rsid w:val="00812370"/>
    <w:rsid w:val="008146E2"/>
    <w:rsid w:val="00820D61"/>
    <w:rsid w:val="008225E6"/>
    <w:rsid w:val="0082411A"/>
    <w:rsid w:val="00841628"/>
    <w:rsid w:val="00846160"/>
    <w:rsid w:val="00854313"/>
    <w:rsid w:val="00863F3D"/>
    <w:rsid w:val="00865134"/>
    <w:rsid w:val="008706F5"/>
    <w:rsid w:val="008749AB"/>
    <w:rsid w:val="0087595A"/>
    <w:rsid w:val="00877BD2"/>
    <w:rsid w:val="00883AFB"/>
    <w:rsid w:val="00896FCF"/>
    <w:rsid w:val="008A0F3A"/>
    <w:rsid w:val="008A3404"/>
    <w:rsid w:val="008A78FF"/>
    <w:rsid w:val="008B3C6E"/>
    <w:rsid w:val="008B7927"/>
    <w:rsid w:val="008C1581"/>
    <w:rsid w:val="008D1E0B"/>
    <w:rsid w:val="008E0D6A"/>
    <w:rsid w:val="008E4020"/>
    <w:rsid w:val="008F0CC6"/>
    <w:rsid w:val="008F2077"/>
    <w:rsid w:val="008F330D"/>
    <w:rsid w:val="008F4E66"/>
    <w:rsid w:val="008F5236"/>
    <w:rsid w:val="008F789E"/>
    <w:rsid w:val="00905771"/>
    <w:rsid w:val="00920CFB"/>
    <w:rsid w:val="00930BE4"/>
    <w:rsid w:val="00950519"/>
    <w:rsid w:val="00950677"/>
    <w:rsid w:val="00950D7B"/>
    <w:rsid w:val="009527FE"/>
    <w:rsid w:val="00953A46"/>
    <w:rsid w:val="00966B49"/>
    <w:rsid w:val="00967473"/>
    <w:rsid w:val="00973090"/>
    <w:rsid w:val="009819B7"/>
    <w:rsid w:val="009870CD"/>
    <w:rsid w:val="00987560"/>
    <w:rsid w:val="00992FA7"/>
    <w:rsid w:val="00995EEC"/>
    <w:rsid w:val="009A0735"/>
    <w:rsid w:val="009A7567"/>
    <w:rsid w:val="009B1BCD"/>
    <w:rsid w:val="009B4006"/>
    <w:rsid w:val="009C0BC1"/>
    <w:rsid w:val="009C5FD6"/>
    <w:rsid w:val="009C71C0"/>
    <w:rsid w:val="009D26D8"/>
    <w:rsid w:val="009E4974"/>
    <w:rsid w:val="009E7E61"/>
    <w:rsid w:val="009F06C3"/>
    <w:rsid w:val="009F108A"/>
    <w:rsid w:val="009F6C96"/>
    <w:rsid w:val="00A001C7"/>
    <w:rsid w:val="00A07516"/>
    <w:rsid w:val="00A10CB6"/>
    <w:rsid w:val="00A11637"/>
    <w:rsid w:val="00A11917"/>
    <w:rsid w:val="00A204C9"/>
    <w:rsid w:val="00A23511"/>
    <w:rsid w:val="00A23742"/>
    <w:rsid w:val="00A3247B"/>
    <w:rsid w:val="00A36DCA"/>
    <w:rsid w:val="00A37C84"/>
    <w:rsid w:val="00A41023"/>
    <w:rsid w:val="00A44556"/>
    <w:rsid w:val="00A50057"/>
    <w:rsid w:val="00A55D60"/>
    <w:rsid w:val="00A63F16"/>
    <w:rsid w:val="00A72CF3"/>
    <w:rsid w:val="00A76AE1"/>
    <w:rsid w:val="00A80FEB"/>
    <w:rsid w:val="00A82A45"/>
    <w:rsid w:val="00A845A9"/>
    <w:rsid w:val="00A85A51"/>
    <w:rsid w:val="00A86958"/>
    <w:rsid w:val="00AA5651"/>
    <w:rsid w:val="00AA5848"/>
    <w:rsid w:val="00AA7750"/>
    <w:rsid w:val="00AA7D39"/>
    <w:rsid w:val="00AB30E3"/>
    <w:rsid w:val="00AC5DB8"/>
    <w:rsid w:val="00AD65F1"/>
    <w:rsid w:val="00AE064D"/>
    <w:rsid w:val="00AE177A"/>
    <w:rsid w:val="00AE3009"/>
    <w:rsid w:val="00AE553F"/>
    <w:rsid w:val="00AF056B"/>
    <w:rsid w:val="00AF390A"/>
    <w:rsid w:val="00B049B1"/>
    <w:rsid w:val="00B14817"/>
    <w:rsid w:val="00B239BA"/>
    <w:rsid w:val="00B45500"/>
    <w:rsid w:val="00B468BB"/>
    <w:rsid w:val="00B60925"/>
    <w:rsid w:val="00B7223F"/>
    <w:rsid w:val="00B7496E"/>
    <w:rsid w:val="00B81F17"/>
    <w:rsid w:val="00B832FA"/>
    <w:rsid w:val="00B91BD6"/>
    <w:rsid w:val="00B970C2"/>
    <w:rsid w:val="00B979B9"/>
    <w:rsid w:val="00BA0394"/>
    <w:rsid w:val="00BA3B0A"/>
    <w:rsid w:val="00BE09A9"/>
    <w:rsid w:val="00BF17C2"/>
    <w:rsid w:val="00BF5014"/>
    <w:rsid w:val="00C03C45"/>
    <w:rsid w:val="00C1355E"/>
    <w:rsid w:val="00C143CF"/>
    <w:rsid w:val="00C2446F"/>
    <w:rsid w:val="00C30A6F"/>
    <w:rsid w:val="00C34591"/>
    <w:rsid w:val="00C41366"/>
    <w:rsid w:val="00C4196E"/>
    <w:rsid w:val="00C43B4A"/>
    <w:rsid w:val="00C51809"/>
    <w:rsid w:val="00C5296A"/>
    <w:rsid w:val="00C56BE0"/>
    <w:rsid w:val="00C63D1E"/>
    <w:rsid w:val="00C64FA5"/>
    <w:rsid w:val="00C724C1"/>
    <w:rsid w:val="00C7599F"/>
    <w:rsid w:val="00C81970"/>
    <w:rsid w:val="00C81D13"/>
    <w:rsid w:val="00C81FBD"/>
    <w:rsid w:val="00C84A12"/>
    <w:rsid w:val="00C87F3B"/>
    <w:rsid w:val="00CA0EC2"/>
    <w:rsid w:val="00CD65FF"/>
    <w:rsid w:val="00CE7A2D"/>
    <w:rsid w:val="00CF0D92"/>
    <w:rsid w:val="00CF3DC5"/>
    <w:rsid w:val="00CF7FE3"/>
    <w:rsid w:val="00D017E2"/>
    <w:rsid w:val="00D10833"/>
    <w:rsid w:val="00D11B0E"/>
    <w:rsid w:val="00D14EFC"/>
    <w:rsid w:val="00D16D97"/>
    <w:rsid w:val="00D207CC"/>
    <w:rsid w:val="00D27F42"/>
    <w:rsid w:val="00D329BF"/>
    <w:rsid w:val="00D36328"/>
    <w:rsid w:val="00D513AC"/>
    <w:rsid w:val="00D545FB"/>
    <w:rsid w:val="00D55093"/>
    <w:rsid w:val="00D622DC"/>
    <w:rsid w:val="00D77533"/>
    <w:rsid w:val="00D84713"/>
    <w:rsid w:val="00D948FA"/>
    <w:rsid w:val="00DB0A92"/>
    <w:rsid w:val="00DB5970"/>
    <w:rsid w:val="00DB77F1"/>
    <w:rsid w:val="00DC1C6F"/>
    <w:rsid w:val="00DD072D"/>
    <w:rsid w:val="00DD4B82"/>
    <w:rsid w:val="00DE6265"/>
    <w:rsid w:val="00DF1E5B"/>
    <w:rsid w:val="00DF285F"/>
    <w:rsid w:val="00DF7471"/>
    <w:rsid w:val="00DF7D81"/>
    <w:rsid w:val="00E07619"/>
    <w:rsid w:val="00E1556F"/>
    <w:rsid w:val="00E2339C"/>
    <w:rsid w:val="00E332FF"/>
    <w:rsid w:val="00E3419E"/>
    <w:rsid w:val="00E44709"/>
    <w:rsid w:val="00E44A0D"/>
    <w:rsid w:val="00E44B0B"/>
    <w:rsid w:val="00E47B1A"/>
    <w:rsid w:val="00E47E50"/>
    <w:rsid w:val="00E631B1"/>
    <w:rsid w:val="00E77586"/>
    <w:rsid w:val="00E84A87"/>
    <w:rsid w:val="00E84B4C"/>
    <w:rsid w:val="00E9027E"/>
    <w:rsid w:val="00E91165"/>
    <w:rsid w:val="00E9690A"/>
    <w:rsid w:val="00E96C51"/>
    <w:rsid w:val="00EA030E"/>
    <w:rsid w:val="00EA265D"/>
    <w:rsid w:val="00EA403D"/>
    <w:rsid w:val="00EA5290"/>
    <w:rsid w:val="00EA7A98"/>
    <w:rsid w:val="00EB248F"/>
    <w:rsid w:val="00EB5F93"/>
    <w:rsid w:val="00EB6839"/>
    <w:rsid w:val="00EB7926"/>
    <w:rsid w:val="00EB7F40"/>
    <w:rsid w:val="00EC0568"/>
    <w:rsid w:val="00EE1643"/>
    <w:rsid w:val="00EE3425"/>
    <w:rsid w:val="00EE544D"/>
    <w:rsid w:val="00EE646D"/>
    <w:rsid w:val="00EE721A"/>
    <w:rsid w:val="00F01480"/>
    <w:rsid w:val="00F0272E"/>
    <w:rsid w:val="00F2438B"/>
    <w:rsid w:val="00F34B9A"/>
    <w:rsid w:val="00F43CAA"/>
    <w:rsid w:val="00F5095F"/>
    <w:rsid w:val="00F70364"/>
    <w:rsid w:val="00F80AD0"/>
    <w:rsid w:val="00F80BC0"/>
    <w:rsid w:val="00F81C33"/>
    <w:rsid w:val="00F867CC"/>
    <w:rsid w:val="00F92055"/>
    <w:rsid w:val="00F923C2"/>
    <w:rsid w:val="00F97613"/>
    <w:rsid w:val="00FD2CD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25E92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6B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441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441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304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0441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4B9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4B9"/>
    <w:rPr>
      <w:rFonts w:ascii="TradeGothic" w:eastAsiaTheme="minorHAnsi" w:hAnsi="TradeGothic" w:cstheme="minorBidi"/>
      <w:b/>
      <w:bCs/>
      <w:lang w:eastAsia="en-US"/>
    </w:rPr>
  </w:style>
  <w:style w:type="paragraph" w:styleId="Quote">
    <w:name w:val="Quote"/>
    <w:basedOn w:val="CommentText"/>
    <w:next w:val="Normal"/>
    <w:link w:val="QuoteChar"/>
    <w:uiPriority w:val="29"/>
    <w:qFormat/>
    <w:rsid w:val="002A39E3"/>
    <w:pPr>
      <w:numPr>
        <w:numId w:val="3"/>
      </w:numPr>
      <w:autoSpaceDE w:val="0"/>
      <w:autoSpaceDN w:val="0"/>
      <w:adjustRightInd w:val="0"/>
      <w:spacing w:after="240"/>
      <w:ind w:right="-471"/>
    </w:pPr>
    <w:rPr>
      <w:rFonts w:ascii="Arial" w:hAnsi="Arial" w:cs="Arial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39E3"/>
    <w:rPr>
      <w:rFonts w:ascii="Arial" w:eastAsiaTheme="minorHAnsi" w:hAnsi="Arial" w:cs="Arial"/>
      <w:sz w:val="24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F80AD0"/>
    <w:rPr>
      <w:rFonts w:ascii="TradeGothic" w:hAnsi="TradeGothic"/>
      <w:sz w:val="22"/>
      <w:lang w:eastAsia="en-US"/>
    </w:rPr>
  </w:style>
  <w:style w:type="paragraph" w:customStyle="1" w:styleId="paragraph">
    <w:name w:val="paragraph"/>
    <w:basedOn w:val="Normal"/>
    <w:uiPriority w:val="99"/>
    <w:semiHidden/>
    <w:rsid w:val="00F80AD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xmsonormal">
    <w:name w:val="x_xmsonormal"/>
    <w:basedOn w:val="Normal"/>
    <w:uiPriority w:val="99"/>
    <w:rsid w:val="00C56BE0"/>
    <w:rPr>
      <w:rFonts w:ascii="Calibri" w:eastAsiaTheme="minorHAnsi" w:hAnsi="Calibri" w:cs="Calibri"/>
      <w:szCs w:val="22"/>
      <w:lang w:eastAsia="en-GB"/>
    </w:rPr>
  </w:style>
  <w:style w:type="paragraph" w:customStyle="1" w:styleId="xxmsolistparagraph">
    <w:name w:val="x_xmsolistparagraph"/>
    <w:basedOn w:val="Normal"/>
    <w:uiPriority w:val="99"/>
    <w:rsid w:val="00C56BE0"/>
    <w:pPr>
      <w:ind w:left="720"/>
    </w:pPr>
    <w:rPr>
      <w:rFonts w:ascii="Calibri" w:eastAsiaTheme="minorHAnsi" w:hAnsi="Calibri" w:cs="Calibri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56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vohidden">
    <w:name w:val="vo_hidden"/>
    <w:basedOn w:val="DefaultParagraphFont"/>
    <w:rsid w:val="00C56BE0"/>
  </w:style>
  <w:style w:type="paragraph" w:customStyle="1" w:styleId="xmsonormal">
    <w:name w:val="x_msonormal"/>
    <w:basedOn w:val="Normal"/>
    <w:rsid w:val="00485A6D"/>
    <w:rPr>
      <w:rFonts w:ascii="Calibri" w:eastAsiaTheme="minorHAnsi" w:hAnsi="Calibri" w:cs="Calibri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4C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4C"/>
    <w:rPr>
      <w:rFonts w:ascii="Arial" w:hAnsi="Arial" w:cstheme="minorBidi"/>
      <w:sz w:val="24"/>
      <w:szCs w:val="21"/>
      <w:lang w:eastAsia="en-US"/>
    </w:rPr>
  </w:style>
  <w:style w:type="table" w:styleId="TableGrid">
    <w:name w:val="Table Grid"/>
    <w:basedOn w:val="TableNormal"/>
    <w:rsid w:val="00D1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4560F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560F1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4560F1"/>
    <w:rPr>
      <w:vertAlign w:val="superscript"/>
    </w:rPr>
  </w:style>
  <w:style w:type="paragraph" w:styleId="Revision">
    <w:name w:val="Revision"/>
    <w:hidden/>
    <w:uiPriority w:val="99"/>
    <w:semiHidden/>
    <w:rsid w:val="00375B8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4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39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52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254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75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7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98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2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599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A40532231</value>
    </field>
    <field name="Objective-Title">
      <value order="0">2022.05.04 - Written Statement - Loss of funding to Wales as a result of UK Government's arrangements for replacement of EU funding</value>
    </field>
    <field name="Objective-Description">
      <value order="0"/>
    </field>
    <field name="Objective-CreationStamp">
      <value order="0">2022-05-04T08:36:22Z</value>
    </field>
    <field name="Objective-IsApproved">
      <value order="0">false</value>
    </field>
    <field name="Objective-IsPublished">
      <value order="0">true</value>
    </field>
    <field name="Objective-DatePublished">
      <value order="0">2022-05-04T08:44:47Z</value>
    </field>
    <field name="Objective-ModificationStamp">
      <value order="0">2022-05-04T08:44:47Z</value>
    </field>
    <field name="Objective-Owner">
      <value order="0">Govier, Sarah (PSG - Welsh Treasury)</value>
    </field>
    <field name="Objective-Path">
      <value order="0">Objective Global Folder:Classified Object:Govier, Sarah (PSG - Welsh Treasury):Special Folder - Govier, Sarah (PSG - Welsh Treasury):Handy - Govier, Sarah (PSG - Welsh Treasury)</value>
    </field>
    <field name="Objective-Parent">
      <value order="0">Handy - Govier, Sarah (PSG - Welsh Treasury)</value>
    </field>
    <field name="Objective-State">
      <value order="0">Published</value>
    </field>
    <field name="Objective-VersionId">
      <value order="0">vA77786776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>2022-05-03T23:00:00Z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DA43B9F-8B65-4B90-A740-A6A7BF769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4488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2022-05-04T13:24:00Z</dcterms:created>
  <dcterms:modified xsi:type="dcterms:W3CDTF">2022-05-04T13:24:00Z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A40532231</vt:lpwstr>
  </property>
  <property fmtid="{D5CDD505-2E9C-101B-9397-08002B2CF9AE}" pid="4" name="Objective-Title">
    <vt:lpwstr>2022.05.04 - Written Statement - Loss of funding to Wales as a result of UK Government's arrangements for replacement of EU funding</vt:lpwstr>
  </property>
  <property fmtid="{D5CDD505-2E9C-101B-9397-08002B2CF9AE}" pid="5" name="Objective-Comment">
    <vt:lpwstr/>
  </property>
  <property fmtid="{D5CDD505-2E9C-101B-9397-08002B2CF9AE}" pid="6" name="Objective-CreationStamp">
    <vt:filetime>2022-05-04T08:36:29Z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2022-05-04T08:44:47Z</vt:filetime>
  </property>
  <property fmtid="{D5CDD505-2E9C-101B-9397-08002B2CF9AE}" pid="10" name="Objective-ModificationStamp">
    <vt:filetime>2022-05-04T08:44:47Z</vt:filetime>
  </property>
  <property fmtid="{D5CDD505-2E9C-101B-9397-08002B2CF9AE}" pid="11" name="Objective-Owner">
    <vt:lpwstr>Govier, Sarah (PSG - Welsh Treasury)</vt:lpwstr>
  </property>
  <property fmtid="{D5CDD505-2E9C-101B-9397-08002B2CF9AE}" pid="12" name="Objective-Path">
    <vt:lpwstr>Govier, Sarah (PSG - Welsh Treasury):Special Folder - Govier, Sarah (PSG - Welsh Treasury):Handy - Govier, Sarah (PSG - Welsh Treasury):</vt:lpwstr>
  </property>
  <property fmtid="{D5CDD505-2E9C-101B-9397-08002B2CF9AE}" pid="13" name="Objective-Parent">
    <vt:lpwstr>Handy - Govier, Sarah (PSG - Welsh Treasury)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vA77786776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2022-05-03T23:00:00Z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