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1163" w14:textId="77777777" w:rsidR="0061369C" w:rsidRDefault="0061369C" w:rsidP="0061369C">
      <w:pPr>
        <w:pStyle w:val="Heading1"/>
        <w:spacing w:after="100" w:afterAutospacing="1"/>
        <w:jc w:val="center"/>
        <w:rPr>
          <w:rFonts w:ascii="Times New Roman" w:hAnsi="Times New Roman"/>
          <w:color w:val="FF0000"/>
          <w:sz w:val="40"/>
          <w:szCs w:val="40"/>
        </w:rPr>
      </w:pPr>
      <w:r>
        <w:rPr>
          <w:noProof/>
        </w:rPr>
        <mc:AlternateContent>
          <mc:Choice Requires="wps">
            <w:drawing>
              <wp:anchor distT="0" distB="0" distL="114300" distR="114300" simplePos="0" relativeHeight="251662336" behindDoc="0" locked="0" layoutInCell="0" allowOverlap="1" wp14:anchorId="0DF97225" wp14:editId="15C29746">
                <wp:simplePos x="0" y="0"/>
                <wp:positionH relativeFrom="column">
                  <wp:posOffset>44450</wp:posOffset>
                </wp:positionH>
                <wp:positionV relativeFrom="paragraph">
                  <wp:posOffset>272415</wp:posOffset>
                </wp:positionV>
                <wp:extent cx="53035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568C0"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45pt" to="421.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" o:allowincell="f" strokecolor="red" strokeweight="1.5pt"/>
            </w:pict>
          </mc:Fallback>
        </mc:AlternateContent>
      </w:r>
    </w:p>
    <w:p w14:paraId="3BD0F102" w14:textId="74AF1E4B" w:rsidR="005D7E3E" w:rsidRDefault="0061369C" w:rsidP="0061369C">
      <w:pPr>
        <w:pStyle w:val="Heading1"/>
        <w:spacing w:after="100" w:afterAutospacing="1"/>
        <w:jc w:val="center"/>
        <w:rPr>
          <w:rFonts w:ascii="Times New Roman" w:hAnsi="Times New Roman"/>
          <w:color w:val="FF0000"/>
          <w:sz w:val="40"/>
          <w:szCs w:val="40"/>
        </w:rPr>
      </w:pPr>
      <w:r>
        <w:rPr>
          <w:rFonts w:ascii="Times New Roman" w:hAnsi="Times New Roman"/>
          <w:color w:val="FF0000"/>
          <w:sz w:val="40"/>
          <w:szCs w:val="40"/>
        </w:rPr>
        <w:t>W</w:t>
      </w:r>
      <w:r w:rsidR="005D7E3E">
        <w:rPr>
          <w:rFonts w:ascii="Times New Roman" w:hAnsi="Times New Roman"/>
          <w:color w:val="FF0000"/>
          <w:sz w:val="40"/>
          <w:szCs w:val="40"/>
        </w:rPr>
        <w:t xml:space="preserve">RITTEN STATEMENT </w:t>
      </w:r>
    </w:p>
    <w:p w14:paraId="59BAA9F9" w14:textId="77777777" w:rsidR="005D7E3E" w:rsidRDefault="005D7E3E" w:rsidP="005D7E3E">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917A3E6" w14:textId="77777777" w:rsidR="005D7E3E" w:rsidRDefault="005D7E3E" w:rsidP="005D7E3E">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AF7A4B7" w14:textId="3A7D3AD9" w:rsidR="005D7E3E" w:rsidRDefault="005D7E3E" w:rsidP="005D7E3E">
      <w:pPr>
        <w:rPr>
          <w:b/>
          <w:color w:val="FF0000"/>
        </w:rPr>
      </w:pPr>
      <w:r>
        <w:rPr>
          <w:noProof/>
        </w:rPr>
        <mc:AlternateContent>
          <mc:Choice Requires="wps">
            <w:drawing>
              <wp:anchor distT="0" distB="0" distL="114300" distR="114300" simplePos="0" relativeHeight="251660288" behindDoc="0" locked="0" layoutInCell="0" allowOverlap="1" wp14:anchorId="5558696A" wp14:editId="3B475463">
                <wp:simplePos x="0" y="0"/>
                <wp:positionH relativeFrom="column">
                  <wp:posOffset>46990</wp:posOffset>
                </wp:positionH>
                <wp:positionV relativeFrom="paragraph">
                  <wp:posOffset>128270</wp:posOffset>
                </wp:positionV>
                <wp:extent cx="53035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46D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4A0" w:firstRow="1" w:lastRow="0" w:firstColumn="1" w:lastColumn="0" w:noHBand="0" w:noVBand="1"/>
      </w:tblPr>
      <w:tblGrid>
        <w:gridCol w:w="1383"/>
        <w:gridCol w:w="7656"/>
      </w:tblGrid>
      <w:tr w:rsidR="005D7E3E" w14:paraId="4D544825" w14:textId="77777777" w:rsidTr="005D7E3E">
        <w:tc>
          <w:tcPr>
            <w:tcW w:w="1383" w:type="dxa"/>
            <w:vAlign w:val="center"/>
          </w:tcPr>
          <w:p w14:paraId="1976EB7B" w14:textId="77777777" w:rsidR="005D7E3E" w:rsidRDefault="005D7E3E">
            <w:pPr>
              <w:spacing w:before="120" w:after="120"/>
              <w:rPr>
                <w:rFonts w:ascii="Arial" w:hAnsi="Arial" w:cs="Arial"/>
                <w:b/>
                <w:bCs/>
                <w:sz w:val="24"/>
                <w:szCs w:val="24"/>
              </w:rPr>
            </w:pPr>
          </w:p>
          <w:p w14:paraId="02348FD9" w14:textId="77777777" w:rsidR="005D7E3E" w:rsidRDefault="005D7E3E">
            <w:pPr>
              <w:spacing w:before="120" w:after="120"/>
              <w:rPr>
                <w:rFonts w:ascii="Arial" w:hAnsi="Arial" w:cs="Arial"/>
                <w:b/>
                <w:bCs/>
                <w:sz w:val="24"/>
                <w:szCs w:val="24"/>
              </w:rPr>
            </w:pPr>
            <w:r>
              <w:rPr>
                <w:rFonts w:ascii="Arial" w:hAnsi="Arial" w:cs="Arial"/>
                <w:b/>
                <w:bCs/>
                <w:sz w:val="24"/>
                <w:szCs w:val="24"/>
              </w:rPr>
              <w:t xml:space="preserve">TITLE </w:t>
            </w:r>
          </w:p>
        </w:tc>
        <w:tc>
          <w:tcPr>
            <w:tcW w:w="7656" w:type="dxa"/>
            <w:vAlign w:val="center"/>
          </w:tcPr>
          <w:p w14:paraId="357F3A38" w14:textId="77777777" w:rsidR="005D7E3E" w:rsidRDefault="005D7E3E">
            <w:pPr>
              <w:spacing w:before="120" w:after="120"/>
              <w:rPr>
                <w:rFonts w:ascii="Arial" w:hAnsi="Arial" w:cs="Arial"/>
                <w:b/>
                <w:bCs/>
                <w:sz w:val="24"/>
                <w:szCs w:val="24"/>
              </w:rPr>
            </w:pPr>
          </w:p>
          <w:p w14:paraId="6CE94DA3" w14:textId="77777777" w:rsidR="005D7E3E" w:rsidRDefault="005D7E3E">
            <w:pPr>
              <w:spacing w:before="120" w:after="120"/>
              <w:rPr>
                <w:rFonts w:ascii="Arial" w:hAnsi="Arial" w:cs="Arial"/>
                <w:b/>
                <w:bCs/>
                <w:sz w:val="24"/>
                <w:szCs w:val="24"/>
              </w:rPr>
            </w:pPr>
            <w:r>
              <w:rPr>
                <w:rFonts w:ascii="Arial" w:hAnsi="Arial" w:cs="Arial"/>
                <w:b/>
                <w:bCs/>
                <w:sz w:val="24"/>
                <w:szCs w:val="24"/>
              </w:rPr>
              <w:t>Dental Contract Reform 2022-23</w:t>
            </w:r>
          </w:p>
        </w:tc>
      </w:tr>
      <w:tr w:rsidR="005D7E3E" w14:paraId="70DFABA9" w14:textId="77777777" w:rsidTr="005D7E3E">
        <w:tc>
          <w:tcPr>
            <w:tcW w:w="1383" w:type="dxa"/>
            <w:vAlign w:val="center"/>
            <w:hideMark/>
          </w:tcPr>
          <w:p w14:paraId="35609CDE" w14:textId="77777777" w:rsidR="005D7E3E" w:rsidRDefault="005D7E3E">
            <w:pPr>
              <w:spacing w:before="120" w:after="120"/>
              <w:rPr>
                <w:rFonts w:ascii="Arial" w:hAnsi="Arial" w:cs="Arial"/>
                <w:b/>
                <w:bCs/>
                <w:sz w:val="24"/>
                <w:szCs w:val="24"/>
              </w:rPr>
            </w:pPr>
            <w:r>
              <w:rPr>
                <w:rFonts w:ascii="Arial" w:hAnsi="Arial" w:cs="Arial"/>
                <w:b/>
                <w:bCs/>
                <w:sz w:val="24"/>
                <w:szCs w:val="24"/>
              </w:rPr>
              <w:t xml:space="preserve">DATE </w:t>
            </w:r>
          </w:p>
        </w:tc>
        <w:tc>
          <w:tcPr>
            <w:tcW w:w="7656" w:type="dxa"/>
            <w:vAlign w:val="center"/>
            <w:hideMark/>
          </w:tcPr>
          <w:p w14:paraId="566EB9ED" w14:textId="7F42715E" w:rsidR="005D7E3E" w:rsidRDefault="000122C8">
            <w:pPr>
              <w:spacing w:before="120" w:after="120"/>
              <w:rPr>
                <w:rFonts w:ascii="Arial" w:hAnsi="Arial" w:cs="Arial"/>
                <w:b/>
                <w:bCs/>
                <w:sz w:val="24"/>
                <w:szCs w:val="24"/>
              </w:rPr>
            </w:pPr>
            <w:r>
              <w:rPr>
                <w:rFonts w:ascii="Arial" w:hAnsi="Arial" w:cs="Arial"/>
                <w:b/>
                <w:bCs/>
                <w:sz w:val="24"/>
                <w:szCs w:val="24"/>
              </w:rPr>
              <w:t>27</w:t>
            </w:r>
            <w:r w:rsidR="005D7E3E">
              <w:rPr>
                <w:rFonts w:ascii="Arial" w:hAnsi="Arial" w:cs="Arial"/>
                <w:b/>
                <w:bCs/>
                <w:sz w:val="24"/>
                <w:szCs w:val="24"/>
              </w:rPr>
              <w:t xml:space="preserve"> July 2022</w:t>
            </w:r>
          </w:p>
        </w:tc>
      </w:tr>
      <w:tr w:rsidR="005D7E3E" w14:paraId="5185FD33" w14:textId="77777777" w:rsidTr="005D7E3E">
        <w:tc>
          <w:tcPr>
            <w:tcW w:w="1383" w:type="dxa"/>
            <w:vAlign w:val="center"/>
            <w:hideMark/>
          </w:tcPr>
          <w:p w14:paraId="4FC9682E" w14:textId="77777777" w:rsidR="005D7E3E" w:rsidRDefault="005D7E3E">
            <w:pPr>
              <w:spacing w:before="120" w:after="120"/>
              <w:rPr>
                <w:rFonts w:ascii="Arial" w:hAnsi="Arial" w:cs="Arial"/>
                <w:b/>
                <w:bCs/>
                <w:sz w:val="24"/>
                <w:szCs w:val="24"/>
              </w:rPr>
            </w:pPr>
            <w:r>
              <w:rPr>
                <w:rFonts w:ascii="Arial" w:hAnsi="Arial" w:cs="Arial"/>
                <w:b/>
                <w:bCs/>
                <w:sz w:val="24"/>
                <w:szCs w:val="24"/>
              </w:rPr>
              <w:t>BY</w:t>
            </w:r>
          </w:p>
        </w:tc>
        <w:tc>
          <w:tcPr>
            <w:tcW w:w="7656" w:type="dxa"/>
            <w:vAlign w:val="center"/>
            <w:hideMark/>
          </w:tcPr>
          <w:p w14:paraId="7CAE9B3A" w14:textId="77777777" w:rsidR="005D7E3E" w:rsidRDefault="005D7E3E">
            <w:pPr>
              <w:spacing w:before="120" w:after="120"/>
              <w:rPr>
                <w:rFonts w:ascii="Arial" w:hAnsi="Arial" w:cs="Arial"/>
                <w:b/>
                <w:bCs/>
                <w:sz w:val="24"/>
                <w:szCs w:val="24"/>
              </w:rPr>
            </w:pPr>
            <w:r>
              <w:rPr>
                <w:rFonts w:ascii="Arial" w:hAnsi="Arial" w:cs="Arial"/>
                <w:b/>
                <w:bCs/>
                <w:sz w:val="24"/>
                <w:szCs w:val="24"/>
              </w:rPr>
              <w:t xml:space="preserve">Eluned Morgan MS, Minister for </w:t>
            </w:r>
            <w:proofErr w:type="gramStart"/>
            <w:r>
              <w:rPr>
                <w:rFonts w:ascii="Arial" w:hAnsi="Arial" w:cs="Arial"/>
                <w:b/>
                <w:bCs/>
                <w:sz w:val="24"/>
                <w:szCs w:val="24"/>
              </w:rPr>
              <w:t>Health</w:t>
            </w:r>
            <w:proofErr w:type="gramEnd"/>
            <w:r>
              <w:rPr>
                <w:rFonts w:ascii="Arial" w:hAnsi="Arial" w:cs="Arial"/>
                <w:b/>
                <w:bCs/>
                <w:sz w:val="24"/>
                <w:szCs w:val="24"/>
              </w:rPr>
              <w:t xml:space="preserve"> and Social Services</w:t>
            </w:r>
          </w:p>
        </w:tc>
      </w:tr>
    </w:tbl>
    <w:p w14:paraId="1C4F748E" w14:textId="77777777" w:rsidR="005D7E3E" w:rsidRDefault="005D7E3E" w:rsidP="005D7E3E"/>
    <w:p w14:paraId="29129563" w14:textId="77777777" w:rsidR="005D7E3E" w:rsidRDefault="005D7E3E" w:rsidP="005D7E3E">
      <w:pPr>
        <w:rPr>
          <w:rFonts w:ascii="Arial" w:hAnsi="Arial" w:cs="Arial"/>
          <w:bCs/>
          <w:sz w:val="24"/>
          <w:szCs w:val="24"/>
        </w:rPr>
      </w:pPr>
      <w:r>
        <w:rPr>
          <w:rFonts w:ascii="Arial" w:hAnsi="Arial" w:cs="Arial"/>
          <w:bCs/>
          <w:sz w:val="24"/>
          <w:szCs w:val="24"/>
        </w:rPr>
        <w:t xml:space="preserve">We want everyone in Wales who wants NHS dental care to be able to access it. </w:t>
      </w:r>
      <w:proofErr w:type="gramStart"/>
      <w:r>
        <w:rPr>
          <w:rFonts w:ascii="Arial" w:hAnsi="Arial" w:cs="Arial"/>
          <w:bCs/>
          <w:sz w:val="24"/>
          <w:szCs w:val="24"/>
        </w:rPr>
        <w:t xml:space="preserve">Our </w:t>
      </w:r>
      <w:r>
        <w:rPr>
          <w:rFonts w:ascii="Arial" w:eastAsia="Calibri" w:hAnsi="Arial" w:cs="Arial"/>
          <w:sz w:val="24"/>
          <w:szCs w:val="24"/>
        </w:rPr>
        <w:t>Programme for Government,</w:t>
      </w:r>
      <w:proofErr w:type="gramEnd"/>
      <w:r>
        <w:rPr>
          <w:rFonts w:ascii="Arial" w:eastAsia="Calibri" w:hAnsi="Arial" w:cs="Arial"/>
          <w:sz w:val="24"/>
          <w:szCs w:val="24"/>
        </w:rPr>
        <w:t xml:space="preserve"> includes a commitment to reform primary care dentistry and increase access to dental care. </w:t>
      </w:r>
    </w:p>
    <w:p w14:paraId="48F9AE90" w14:textId="77777777" w:rsidR="005D7E3E" w:rsidRDefault="005D7E3E" w:rsidP="005D7E3E">
      <w:pPr>
        <w:rPr>
          <w:rFonts w:ascii="Arial" w:eastAsia="Calibri" w:hAnsi="Arial" w:cs="Arial"/>
          <w:sz w:val="24"/>
          <w:szCs w:val="24"/>
        </w:rPr>
      </w:pPr>
    </w:p>
    <w:p w14:paraId="2DAA9B9C" w14:textId="77777777" w:rsidR="005D7E3E" w:rsidRDefault="005D7E3E" w:rsidP="005D7E3E">
      <w:pPr>
        <w:rPr>
          <w:rFonts w:ascii="Arial" w:hAnsi="Arial" w:cs="Arial"/>
          <w:sz w:val="24"/>
          <w:szCs w:val="24"/>
          <w:lang w:val="en"/>
        </w:rPr>
      </w:pPr>
      <w:r>
        <w:rPr>
          <w:rFonts w:ascii="Arial" w:hAnsi="Arial" w:cs="Arial"/>
          <w:sz w:val="24"/>
          <w:szCs w:val="24"/>
          <w:lang w:val="en"/>
        </w:rPr>
        <w:t xml:space="preserve">The oral health and dental services response to </w:t>
      </w:r>
      <w:r>
        <w:rPr>
          <w:rFonts w:ascii="Arial" w:hAnsi="Arial" w:cs="Arial"/>
          <w:i/>
          <w:iCs/>
          <w:sz w:val="24"/>
          <w:szCs w:val="24"/>
          <w:lang w:val="en"/>
        </w:rPr>
        <w:t>A Healthier Wales</w:t>
      </w:r>
      <w:r>
        <w:rPr>
          <w:rFonts w:ascii="Arial" w:hAnsi="Arial" w:cs="Arial"/>
          <w:sz w:val="24"/>
          <w:szCs w:val="24"/>
          <w:lang w:val="en"/>
        </w:rPr>
        <w:t xml:space="preserve"> set out a whole-system change to dentistry to increase needs-led preventive care. At the heart of this is improving outcomes for people through preventive models of care, supported by reforming the contract that underpins the delivery and payment for dental services.</w:t>
      </w:r>
    </w:p>
    <w:p w14:paraId="05208C96" w14:textId="77777777" w:rsidR="005D7E3E" w:rsidRDefault="005D7E3E" w:rsidP="005D7E3E">
      <w:pPr>
        <w:rPr>
          <w:rFonts w:ascii="Arial" w:hAnsi="Arial" w:cs="Arial"/>
          <w:sz w:val="24"/>
          <w:szCs w:val="24"/>
          <w:lang w:val="en"/>
        </w:rPr>
      </w:pPr>
    </w:p>
    <w:p w14:paraId="4CBE12F5" w14:textId="77777777" w:rsidR="005D7E3E" w:rsidRDefault="005D7E3E" w:rsidP="005D7E3E">
      <w:pPr>
        <w:rPr>
          <w:rFonts w:ascii="Arial" w:hAnsi="Arial" w:cs="Arial"/>
          <w:sz w:val="24"/>
          <w:szCs w:val="24"/>
        </w:rPr>
      </w:pPr>
      <w:r>
        <w:rPr>
          <w:rFonts w:ascii="Arial" w:hAnsi="Arial" w:cs="Arial"/>
          <w:sz w:val="24"/>
          <w:szCs w:val="24"/>
        </w:rPr>
        <w:t xml:space="preserve">More practices are now delivering a service focused </w:t>
      </w:r>
      <w:proofErr w:type="gramStart"/>
      <w:r>
        <w:rPr>
          <w:rFonts w:ascii="Arial" w:hAnsi="Arial" w:cs="Arial"/>
          <w:sz w:val="24"/>
          <w:szCs w:val="24"/>
        </w:rPr>
        <w:t>towards</w:t>
      </w:r>
      <w:proofErr w:type="gramEnd"/>
      <w:r>
        <w:rPr>
          <w:rFonts w:ascii="Arial" w:hAnsi="Arial" w:cs="Arial"/>
          <w:sz w:val="24"/>
          <w:szCs w:val="24"/>
        </w:rPr>
        <w:t xml:space="preserve"> preventive care and treatment rather than the treadmill of delivering Units of Dental Activity (UDA) targets. </w:t>
      </w:r>
    </w:p>
    <w:p w14:paraId="32EA313F" w14:textId="77777777" w:rsidR="005D7E3E" w:rsidRDefault="005D7E3E" w:rsidP="005D7E3E">
      <w:pPr>
        <w:rPr>
          <w:rFonts w:ascii="Arial" w:hAnsi="Arial" w:cs="Arial"/>
          <w:sz w:val="24"/>
          <w:szCs w:val="24"/>
        </w:rPr>
      </w:pPr>
    </w:p>
    <w:p w14:paraId="5D701B78" w14:textId="77777777" w:rsidR="005D7E3E" w:rsidRDefault="005D7E3E" w:rsidP="005D7E3E">
      <w:pPr>
        <w:rPr>
          <w:rFonts w:ascii="Arial" w:hAnsi="Arial" w:cs="Arial"/>
          <w:sz w:val="24"/>
          <w:szCs w:val="24"/>
        </w:rPr>
      </w:pPr>
      <w:r>
        <w:rPr>
          <w:rFonts w:ascii="Arial" w:hAnsi="Arial" w:cs="Arial"/>
          <w:sz w:val="24"/>
          <w:szCs w:val="24"/>
        </w:rPr>
        <w:t xml:space="preserve">The pandemic has inevitably had an impact on the reform work – just as it has had an impact on the number of people who can be seen in dentistry because of the public health measures which need to be in place to protect staff and patients. </w:t>
      </w:r>
    </w:p>
    <w:p w14:paraId="30DAC5C7" w14:textId="77777777" w:rsidR="005D7E3E" w:rsidRDefault="005D7E3E" w:rsidP="005D7E3E">
      <w:pPr>
        <w:rPr>
          <w:rFonts w:ascii="Arial" w:hAnsi="Arial" w:cs="Arial"/>
          <w:sz w:val="24"/>
          <w:szCs w:val="24"/>
        </w:rPr>
      </w:pPr>
    </w:p>
    <w:p w14:paraId="53E22E72" w14:textId="77777777" w:rsidR="005D7E3E" w:rsidRDefault="005D7E3E" w:rsidP="005D7E3E">
      <w:pPr>
        <w:rPr>
          <w:rFonts w:ascii="Arial" w:hAnsi="Arial" w:cs="Arial"/>
          <w:color w:val="0070C0"/>
          <w:sz w:val="24"/>
          <w:szCs w:val="24"/>
        </w:rPr>
      </w:pPr>
      <w:r>
        <w:rPr>
          <w:rFonts w:ascii="Arial" w:hAnsi="Arial" w:cs="Arial"/>
          <w:bCs/>
          <w:sz w:val="24"/>
          <w:szCs w:val="24"/>
        </w:rPr>
        <w:t xml:space="preserve">Before the pandemic, about 40% of practices holding NHS dental contracts in Wales were engaged in, or had signed up to be part of, contract reform. The pandemic paused that progress, but we have continued to learn and test alternative measures during the recovery and reset phase. </w:t>
      </w:r>
    </w:p>
    <w:p w14:paraId="271CAC60" w14:textId="77777777" w:rsidR="005D7E3E" w:rsidRDefault="005D7E3E" w:rsidP="005D7E3E">
      <w:pPr>
        <w:rPr>
          <w:rFonts w:ascii="Arial" w:hAnsi="Arial" w:cs="Arial"/>
          <w:sz w:val="24"/>
          <w:szCs w:val="24"/>
        </w:rPr>
      </w:pPr>
    </w:p>
    <w:p w14:paraId="120D9401" w14:textId="77777777" w:rsidR="005D7E3E" w:rsidRDefault="005D7E3E" w:rsidP="005D7E3E">
      <w:pPr>
        <w:rPr>
          <w:rFonts w:ascii="Arial" w:eastAsia="Calibri" w:hAnsi="Arial" w:cs="Arial"/>
          <w:sz w:val="24"/>
          <w:szCs w:val="24"/>
        </w:rPr>
      </w:pPr>
      <w:r>
        <w:rPr>
          <w:rFonts w:ascii="Arial" w:eastAsia="Calibri" w:hAnsi="Arial" w:cs="Arial"/>
          <w:sz w:val="24"/>
          <w:szCs w:val="24"/>
        </w:rPr>
        <w:t>From April 2022, NHS practices were asked to choose between being part of the reform programme or to return to the contractual arrangements based wholly on the delivery of UDA. The expected UDA target for these practices will be 95% of pre-Covid/pre-reform level. </w:t>
      </w:r>
    </w:p>
    <w:p w14:paraId="2DF39586" w14:textId="77777777" w:rsidR="005D7E3E" w:rsidRDefault="005D7E3E" w:rsidP="005D7E3E">
      <w:pPr>
        <w:rPr>
          <w:rFonts w:ascii="Arial" w:eastAsia="Calibri" w:hAnsi="Arial" w:cs="Arial"/>
          <w:sz w:val="24"/>
          <w:szCs w:val="24"/>
        </w:rPr>
      </w:pPr>
    </w:p>
    <w:p w14:paraId="74BC0121" w14:textId="77777777" w:rsidR="005D7E3E" w:rsidRDefault="005D7E3E" w:rsidP="005D7E3E">
      <w:pPr>
        <w:pStyle w:val="ListParagraph"/>
        <w:ind w:left="0"/>
        <w:jc w:val="both"/>
        <w:rPr>
          <w:rFonts w:ascii="Arial" w:hAnsi="Arial" w:cs="Arial"/>
          <w:iCs/>
          <w:sz w:val="24"/>
          <w:szCs w:val="24"/>
        </w:rPr>
      </w:pPr>
      <w:r>
        <w:rPr>
          <w:rFonts w:ascii="Arial" w:hAnsi="Arial" w:cs="Arial"/>
          <w:iCs/>
          <w:sz w:val="24"/>
          <w:szCs w:val="24"/>
        </w:rPr>
        <w:t xml:space="preserve">The practices involved in contract reform will focus on prevention and needs-based care. This means they will move away from routine six-monthly check-ups for all patients. The National Institute for Health and Care Excellence (NICE) recommended moving away from a universal six-month check-up in 2004. </w:t>
      </w:r>
    </w:p>
    <w:p w14:paraId="6B844BD1" w14:textId="33040E4C" w:rsidR="005D7E3E" w:rsidRDefault="005D7E3E" w:rsidP="005D7E3E">
      <w:pPr>
        <w:pStyle w:val="ListParagraph"/>
        <w:ind w:left="0"/>
        <w:jc w:val="both"/>
        <w:rPr>
          <w:rFonts w:ascii="Arial" w:hAnsi="Arial" w:cs="Arial"/>
          <w:iCs/>
          <w:sz w:val="24"/>
          <w:szCs w:val="24"/>
        </w:rPr>
      </w:pPr>
    </w:p>
    <w:p w14:paraId="3DA549DC" w14:textId="77777777" w:rsidR="000122C8" w:rsidRDefault="000122C8" w:rsidP="005D7E3E">
      <w:pPr>
        <w:pStyle w:val="ListParagraph"/>
        <w:ind w:left="0"/>
        <w:jc w:val="both"/>
        <w:rPr>
          <w:rFonts w:ascii="Arial" w:hAnsi="Arial" w:cs="Arial"/>
          <w:iCs/>
          <w:sz w:val="24"/>
          <w:szCs w:val="24"/>
        </w:rPr>
      </w:pPr>
    </w:p>
    <w:p w14:paraId="4D5D8271" w14:textId="77777777" w:rsidR="005D7E3E" w:rsidRDefault="005D7E3E" w:rsidP="005D7E3E">
      <w:pPr>
        <w:pStyle w:val="ListParagraph"/>
        <w:ind w:left="0"/>
        <w:jc w:val="both"/>
        <w:rPr>
          <w:rFonts w:ascii="Arial" w:hAnsi="Arial" w:cs="Arial"/>
          <w:iCs/>
          <w:sz w:val="24"/>
          <w:szCs w:val="24"/>
        </w:rPr>
      </w:pPr>
      <w:r>
        <w:rPr>
          <w:rFonts w:ascii="Arial" w:hAnsi="Arial" w:cs="Arial"/>
          <w:iCs/>
          <w:sz w:val="24"/>
          <w:szCs w:val="24"/>
        </w:rPr>
        <w:t>Moving away from twice-yearly check-ups is a significant change from what people are used to. There will be a targeted communications campaign to help support practices and to provide people with information about the benefits of self-care. I hope I can count on Members’ support in conveying this important message to their constituents.</w:t>
      </w:r>
    </w:p>
    <w:p w14:paraId="17620A16" w14:textId="77777777" w:rsidR="005D7E3E" w:rsidRDefault="005D7E3E" w:rsidP="005D7E3E">
      <w:pPr>
        <w:pStyle w:val="ListParagraph"/>
        <w:ind w:left="0"/>
        <w:jc w:val="both"/>
        <w:rPr>
          <w:rFonts w:ascii="Arial" w:hAnsi="Arial" w:cs="Arial"/>
          <w:iCs/>
          <w:sz w:val="24"/>
          <w:szCs w:val="24"/>
        </w:rPr>
      </w:pPr>
    </w:p>
    <w:p w14:paraId="2729AA16" w14:textId="77777777" w:rsidR="005D7E3E" w:rsidRDefault="005D7E3E" w:rsidP="005D7E3E">
      <w:pPr>
        <w:pStyle w:val="ListParagraph"/>
        <w:ind w:left="0"/>
        <w:jc w:val="both"/>
        <w:rPr>
          <w:rFonts w:ascii="Arial" w:hAnsi="Arial" w:cs="Arial"/>
          <w:iCs/>
          <w:sz w:val="24"/>
          <w:szCs w:val="24"/>
        </w:rPr>
      </w:pPr>
      <w:r>
        <w:rPr>
          <w:rFonts w:ascii="Arial" w:hAnsi="Arial" w:cs="Arial"/>
          <w:iCs/>
          <w:sz w:val="24"/>
          <w:szCs w:val="24"/>
        </w:rPr>
        <w:t xml:space="preserve">The capacity released will be available to provide appointments for new patients – for those who need continuing care from an NHS dental team; those who need urgent care; of for those who have a particular dental need but do not want continuing NHS care.  </w:t>
      </w:r>
    </w:p>
    <w:p w14:paraId="046EDB66" w14:textId="77777777" w:rsidR="005D7E3E" w:rsidRDefault="005D7E3E" w:rsidP="005D7E3E">
      <w:pPr>
        <w:pStyle w:val="ListParagraph"/>
        <w:ind w:left="360"/>
        <w:jc w:val="both"/>
        <w:rPr>
          <w:rFonts w:ascii="Arial" w:hAnsi="Arial" w:cs="Arial"/>
          <w:iCs/>
          <w:sz w:val="24"/>
          <w:szCs w:val="24"/>
        </w:rPr>
      </w:pPr>
    </w:p>
    <w:p w14:paraId="2BE37D85" w14:textId="77777777" w:rsidR="005D7E3E" w:rsidRDefault="005D7E3E" w:rsidP="005D7E3E">
      <w:pPr>
        <w:pStyle w:val="ListParagraph"/>
        <w:ind w:left="0"/>
        <w:jc w:val="both"/>
        <w:rPr>
          <w:rFonts w:ascii="Arial" w:hAnsi="Arial" w:cs="Arial"/>
          <w:iCs/>
          <w:sz w:val="24"/>
          <w:szCs w:val="24"/>
        </w:rPr>
      </w:pPr>
      <w:r>
        <w:rPr>
          <w:rFonts w:ascii="Arial" w:hAnsi="Arial" w:cs="Arial"/>
          <w:iCs/>
          <w:sz w:val="24"/>
          <w:szCs w:val="24"/>
        </w:rPr>
        <w:t xml:space="preserve">I am pleased that more than three-quarters of NHS dentists across Wales (78%) have moved to the reform contract. This represents 89% of the total contract value of commissioned NHS dental services. The contract value is more important than the number of contracts because it is the contract value that sets the metrics for new patient access. It indicates that </w:t>
      </w:r>
      <w:proofErr w:type="gramStart"/>
      <w:r>
        <w:rPr>
          <w:rFonts w:ascii="Arial" w:hAnsi="Arial" w:cs="Arial"/>
          <w:iCs/>
          <w:sz w:val="24"/>
          <w:szCs w:val="24"/>
        </w:rPr>
        <w:t>the overwhelming majority of</w:t>
      </w:r>
      <w:proofErr w:type="gramEnd"/>
      <w:r>
        <w:rPr>
          <w:rFonts w:ascii="Arial" w:hAnsi="Arial" w:cs="Arial"/>
          <w:iCs/>
          <w:sz w:val="24"/>
          <w:szCs w:val="24"/>
        </w:rPr>
        <w:t xml:space="preserve"> practices are now working under the principles of dental reform, focusing on prevention and needs-based treatment. The table at the end of this statement shows opt-in by health board.</w:t>
      </w:r>
    </w:p>
    <w:p w14:paraId="51532A43" w14:textId="77777777" w:rsidR="005D7E3E" w:rsidRDefault="005D7E3E" w:rsidP="005D7E3E">
      <w:pPr>
        <w:pStyle w:val="ListParagraph"/>
        <w:ind w:left="0"/>
        <w:jc w:val="both"/>
        <w:rPr>
          <w:rFonts w:ascii="Arial" w:hAnsi="Arial" w:cs="Arial"/>
          <w:sz w:val="24"/>
          <w:szCs w:val="24"/>
          <w:lang w:val="en"/>
        </w:rPr>
      </w:pPr>
    </w:p>
    <w:p w14:paraId="7E892919" w14:textId="77777777" w:rsidR="005D7E3E" w:rsidRDefault="005D7E3E" w:rsidP="005D7E3E">
      <w:pPr>
        <w:pStyle w:val="ListParagraph"/>
        <w:ind w:left="0"/>
        <w:jc w:val="both"/>
        <w:rPr>
          <w:rFonts w:ascii="Arial" w:hAnsi="Arial" w:cs="Arial"/>
          <w:iCs/>
          <w:sz w:val="24"/>
          <w:szCs w:val="24"/>
        </w:rPr>
      </w:pPr>
      <w:r>
        <w:rPr>
          <w:rFonts w:ascii="Arial" w:hAnsi="Arial" w:cs="Arial"/>
          <w:iCs/>
          <w:sz w:val="24"/>
          <w:szCs w:val="24"/>
        </w:rPr>
        <w:t xml:space="preserve">Practices will need to balance the need for urgent dental provision with the need to see new patients, however we have calculated some 112,000 people could gain access to an NHS dentist this year as a direct result of contract reform. </w:t>
      </w:r>
    </w:p>
    <w:p w14:paraId="6EFA9F56" w14:textId="77777777" w:rsidR="005D7E3E" w:rsidRDefault="005D7E3E" w:rsidP="005D7E3E">
      <w:pPr>
        <w:pStyle w:val="ListParagraph"/>
        <w:ind w:left="0"/>
        <w:jc w:val="both"/>
        <w:rPr>
          <w:rFonts w:ascii="Arial" w:hAnsi="Arial" w:cs="Arial"/>
          <w:iCs/>
          <w:sz w:val="24"/>
          <w:szCs w:val="24"/>
        </w:rPr>
      </w:pPr>
    </w:p>
    <w:p w14:paraId="1FBF9ECE" w14:textId="77777777" w:rsidR="005D7E3E" w:rsidRDefault="005D7E3E" w:rsidP="005D7E3E">
      <w:pPr>
        <w:jc w:val="both"/>
        <w:rPr>
          <w:rFonts w:ascii="Arial" w:hAnsi="Arial" w:cs="Arial"/>
          <w:iCs/>
          <w:sz w:val="24"/>
          <w:szCs w:val="24"/>
        </w:rPr>
      </w:pPr>
      <w:r>
        <w:rPr>
          <w:rFonts w:ascii="Arial" w:hAnsi="Arial" w:cs="Arial"/>
          <w:iCs/>
          <w:sz w:val="24"/>
          <w:szCs w:val="24"/>
        </w:rPr>
        <w:t>I will keep Members updated about contract reform.</w:t>
      </w:r>
    </w:p>
    <w:p w14:paraId="153C025B" w14:textId="77777777" w:rsidR="005D7E3E" w:rsidRDefault="005D7E3E" w:rsidP="005D7E3E">
      <w:pPr>
        <w:jc w:val="both"/>
        <w:rPr>
          <w:rFonts w:ascii="Arial" w:hAnsi="Arial" w:cs="Arial"/>
          <w:iCs/>
          <w:sz w:val="24"/>
          <w:szCs w:val="24"/>
        </w:rPr>
      </w:pPr>
    </w:p>
    <w:tbl>
      <w:tblPr>
        <w:tblW w:w="7113" w:type="dxa"/>
        <w:tblInd w:w="1359" w:type="dxa"/>
        <w:tblLook w:val="04A0" w:firstRow="1" w:lastRow="0" w:firstColumn="1" w:lastColumn="0" w:noHBand="0" w:noVBand="1"/>
      </w:tblPr>
      <w:tblGrid>
        <w:gridCol w:w="1467"/>
        <w:gridCol w:w="1117"/>
        <w:gridCol w:w="1039"/>
        <w:gridCol w:w="1039"/>
        <w:gridCol w:w="1033"/>
        <w:gridCol w:w="1418"/>
      </w:tblGrid>
      <w:tr w:rsidR="005D7E3E" w14:paraId="5BB0BFAA" w14:textId="77777777" w:rsidTr="005D7E3E">
        <w:trPr>
          <w:trHeight w:val="256"/>
        </w:trPr>
        <w:tc>
          <w:tcPr>
            <w:tcW w:w="1467" w:type="dxa"/>
            <w:tcBorders>
              <w:top w:val="double" w:sz="6" w:space="0" w:color="3F3F3F"/>
              <w:left w:val="double" w:sz="6" w:space="0" w:color="3F3F3F"/>
              <w:bottom w:val="single" w:sz="8" w:space="0" w:color="auto"/>
              <w:right w:val="double" w:sz="6" w:space="0" w:color="3F3F3F"/>
            </w:tcBorders>
            <w:shd w:val="clear" w:color="auto" w:fill="A5A5A5"/>
            <w:noWrap/>
            <w:vAlign w:val="bottom"/>
            <w:hideMark/>
          </w:tcPr>
          <w:p w14:paraId="3A331568" w14:textId="77777777" w:rsidR="005D7E3E" w:rsidRDefault="005D7E3E">
            <w:pPr>
              <w:rPr>
                <w:rFonts w:ascii="Arial" w:hAnsi="Arial" w:cs="Arial"/>
                <w:b/>
                <w:bCs/>
                <w:sz w:val="20"/>
                <w:lang w:eastAsia="en-GB"/>
              </w:rPr>
            </w:pPr>
            <w:r>
              <w:rPr>
                <w:rFonts w:ascii="Arial" w:hAnsi="Arial" w:cs="Arial"/>
                <w:b/>
                <w:bCs/>
                <w:sz w:val="20"/>
                <w:lang w:eastAsia="en-GB"/>
              </w:rPr>
              <w:t>Health Board</w:t>
            </w:r>
          </w:p>
        </w:tc>
        <w:tc>
          <w:tcPr>
            <w:tcW w:w="1117" w:type="dxa"/>
            <w:tcBorders>
              <w:top w:val="double" w:sz="6" w:space="0" w:color="3F3F3F"/>
              <w:left w:val="nil"/>
              <w:bottom w:val="nil"/>
              <w:right w:val="double" w:sz="6" w:space="0" w:color="3F3F3F"/>
            </w:tcBorders>
            <w:shd w:val="clear" w:color="auto" w:fill="A5A5A5"/>
            <w:noWrap/>
            <w:vAlign w:val="bottom"/>
            <w:hideMark/>
          </w:tcPr>
          <w:p w14:paraId="54C90109" w14:textId="77777777" w:rsidR="005D7E3E" w:rsidRDefault="005D7E3E">
            <w:pPr>
              <w:rPr>
                <w:rFonts w:ascii="Arial" w:hAnsi="Arial" w:cs="Arial"/>
                <w:b/>
                <w:bCs/>
                <w:color w:val="0D0D0D"/>
                <w:sz w:val="20"/>
                <w:lang w:eastAsia="en-GB"/>
              </w:rPr>
            </w:pPr>
            <w:r>
              <w:rPr>
                <w:rFonts w:ascii="Arial" w:hAnsi="Arial" w:cs="Arial"/>
                <w:b/>
                <w:bCs/>
                <w:color w:val="0D0D0D"/>
                <w:sz w:val="20"/>
                <w:lang w:eastAsia="en-GB"/>
              </w:rPr>
              <w:t>Number of NHS contracts</w:t>
            </w:r>
          </w:p>
        </w:tc>
        <w:tc>
          <w:tcPr>
            <w:tcW w:w="1039" w:type="dxa"/>
            <w:tcBorders>
              <w:top w:val="double" w:sz="6" w:space="0" w:color="3F3F3F"/>
              <w:left w:val="nil"/>
              <w:bottom w:val="nil"/>
              <w:right w:val="double" w:sz="6" w:space="0" w:color="3F3F3F"/>
            </w:tcBorders>
            <w:shd w:val="clear" w:color="auto" w:fill="A5A5A5"/>
            <w:noWrap/>
            <w:vAlign w:val="bottom"/>
            <w:hideMark/>
          </w:tcPr>
          <w:p w14:paraId="3E399055" w14:textId="77777777" w:rsidR="005D7E3E" w:rsidRDefault="005D7E3E">
            <w:pPr>
              <w:rPr>
                <w:rFonts w:ascii="Arial" w:hAnsi="Arial" w:cs="Arial"/>
                <w:b/>
                <w:bCs/>
                <w:color w:val="0D0D0D"/>
                <w:sz w:val="20"/>
                <w:lang w:eastAsia="en-GB"/>
              </w:rPr>
            </w:pPr>
            <w:r>
              <w:rPr>
                <w:rFonts w:ascii="Arial" w:hAnsi="Arial" w:cs="Arial"/>
                <w:b/>
                <w:bCs/>
                <w:color w:val="0D0D0D"/>
                <w:sz w:val="20"/>
                <w:lang w:eastAsia="en-GB"/>
              </w:rPr>
              <w:t xml:space="preserve">Contract UDA </w:t>
            </w:r>
          </w:p>
        </w:tc>
        <w:tc>
          <w:tcPr>
            <w:tcW w:w="1039" w:type="dxa"/>
            <w:tcBorders>
              <w:top w:val="double" w:sz="6" w:space="0" w:color="3F3F3F"/>
              <w:left w:val="nil"/>
              <w:bottom w:val="nil"/>
              <w:right w:val="double" w:sz="6" w:space="0" w:color="3F3F3F"/>
            </w:tcBorders>
            <w:shd w:val="clear" w:color="auto" w:fill="A5A5A5"/>
            <w:noWrap/>
            <w:vAlign w:val="bottom"/>
            <w:hideMark/>
          </w:tcPr>
          <w:p w14:paraId="4162F375" w14:textId="77777777" w:rsidR="005D7E3E" w:rsidRDefault="005D7E3E">
            <w:pPr>
              <w:rPr>
                <w:rFonts w:ascii="Arial" w:hAnsi="Arial" w:cs="Arial"/>
                <w:b/>
                <w:bCs/>
                <w:color w:val="0D0D0D"/>
                <w:sz w:val="20"/>
                <w:lang w:eastAsia="en-GB"/>
              </w:rPr>
            </w:pPr>
            <w:r>
              <w:rPr>
                <w:rFonts w:ascii="Arial" w:hAnsi="Arial" w:cs="Arial"/>
                <w:b/>
                <w:bCs/>
                <w:color w:val="0D0D0D"/>
                <w:sz w:val="20"/>
                <w:lang w:eastAsia="en-GB"/>
              </w:rPr>
              <w:t xml:space="preserve">Reform contract </w:t>
            </w:r>
          </w:p>
        </w:tc>
        <w:tc>
          <w:tcPr>
            <w:tcW w:w="1033" w:type="dxa"/>
            <w:tcBorders>
              <w:top w:val="double" w:sz="6" w:space="0" w:color="3F3F3F"/>
              <w:left w:val="nil"/>
              <w:bottom w:val="nil"/>
              <w:right w:val="double" w:sz="6" w:space="0" w:color="3F3F3F"/>
            </w:tcBorders>
            <w:shd w:val="clear" w:color="auto" w:fill="A5A5A5"/>
            <w:noWrap/>
            <w:vAlign w:val="bottom"/>
            <w:hideMark/>
          </w:tcPr>
          <w:p w14:paraId="0C229C89" w14:textId="77777777" w:rsidR="005D7E3E" w:rsidRDefault="005D7E3E">
            <w:pPr>
              <w:rPr>
                <w:rFonts w:ascii="Arial" w:hAnsi="Arial" w:cs="Arial"/>
                <w:b/>
                <w:bCs/>
                <w:color w:val="0D0D0D"/>
                <w:sz w:val="20"/>
                <w:lang w:eastAsia="en-GB"/>
              </w:rPr>
            </w:pPr>
            <w:r>
              <w:rPr>
                <w:rFonts w:ascii="Arial" w:hAnsi="Arial" w:cs="Arial"/>
                <w:b/>
                <w:bCs/>
                <w:color w:val="0D0D0D"/>
                <w:sz w:val="20"/>
                <w:lang w:eastAsia="en-GB"/>
              </w:rPr>
              <w:t>Reform opt-in %</w:t>
            </w:r>
          </w:p>
        </w:tc>
        <w:tc>
          <w:tcPr>
            <w:tcW w:w="1418" w:type="dxa"/>
            <w:tcBorders>
              <w:top w:val="single" w:sz="8" w:space="0" w:color="auto"/>
              <w:left w:val="single" w:sz="8" w:space="0" w:color="auto"/>
              <w:bottom w:val="single" w:sz="8" w:space="0" w:color="auto"/>
              <w:right w:val="single" w:sz="8" w:space="0" w:color="auto"/>
            </w:tcBorders>
            <w:shd w:val="clear" w:color="auto" w:fill="BFBFBF"/>
            <w:noWrap/>
            <w:vAlign w:val="bottom"/>
            <w:hideMark/>
          </w:tcPr>
          <w:p w14:paraId="26DBDCC2" w14:textId="0805E851" w:rsidR="005D7E3E" w:rsidRDefault="005D7E3E">
            <w:pPr>
              <w:rPr>
                <w:rFonts w:ascii="Arial" w:hAnsi="Arial" w:cs="Arial"/>
                <w:b/>
                <w:bCs/>
                <w:color w:val="0D0D0D"/>
                <w:sz w:val="20"/>
                <w:lang w:eastAsia="en-GB"/>
              </w:rPr>
            </w:pPr>
            <w:r>
              <w:rPr>
                <w:rFonts w:ascii="Arial" w:hAnsi="Arial" w:cs="Arial"/>
                <w:b/>
                <w:bCs/>
                <w:color w:val="0D0D0D"/>
                <w:sz w:val="20"/>
                <w:lang w:eastAsia="en-GB"/>
              </w:rPr>
              <w:t xml:space="preserve">Reform contract value </w:t>
            </w:r>
            <w:r w:rsidR="007127D2">
              <w:rPr>
                <w:rFonts w:ascii="Arial" w:hAnsi="Arial" w:cs="Arial"/>
                <w:b/>
                <w:bCs/>
                <w:color w:val="0D0D0D"/>
                <w:sz w:val="20"/>
                <w:lang w:eastAsia="en-GB"/>
              </w:rPr>
              <w:t>(£m)</w:t>
            </w:r>
          </w:p>
        </w:tc>
      </w:tr>
      <w:tr w:rsidR="005D7E3E" w14:paraId="1C8DAF5A" w14:textId="77777777" w:rsidTr="005D7E3E">
        <w:trPr>
          <w:trHeight w:val="256"/>
        </w:trPr>
        <w:tc>
          <w:tcPr>
            <w:tcW w:w="1467" w:type="dxa"/>
            <w:tcBorders>
              <w:top w:val="nil"/>
              <w:left w:val="double" w:sz="6" w:space="0" w:color="3F3F3F"/>
              <w:bottom w:val="double" w:sz="6" w:space="0" w:color="3F3F3F"/>
              <w:right w:val="nil"/>
            </w:tcBorders>
            <w:shd w:val="clear" w:color="auto" w:fill="A5A5A5"/>
            <w:noWrap/>
            <w:vAlign w:val="bottom"/>
            <w:hideMark/>
          </w:tcPr>
          <w:p w14:paraId="26B5B7A6" w14:textId="77777777" w:rsidR="005D7E3E" w:rsidRDefault="005D7E3E">
            <w:pPr>
              <w:rPr>
                <w:rFonts w:ascii="Arial" w:hAnsi="Arial" w:cs="Arial"/>
                <w:sz w:val="20"/>
                <w:lang w:eastAsia="en-GB"/>
              </w:rPr>
            </w:pPr>
            <w:r>
              <w:rPr>
                <w:rFonts w:ascii="Arial" w:hAnsi="Arial" w:cs="Arial"/>
                <w:sz w:val="20"/>
                <w:lang w:eastAsia="en-GB"/>
              </w:rPr>
              <w:t xml:space="preserve">Aneurin Bevan </w:t>
            </w:r>
          </w:p>
        </w:tc>
        <w:tc>
          <w:tcPr>
            <w:tcW w:w="1117" w:type="dxa"/>
            <w:tcBorders>
              <w:top w:val="single" w:sz="12" w:space="0" w:color="auto"/>
              <w:left w:val="single" w:sz="12" w:space="0" w:color="auto"/>
              <w:bottom w:val="single" w:sz="4" w:space="0" w:color="auto"/>
              <w:right w:val="single" w:sz="4" w:space="0" w:color="auto"/>
            </w:tcBorders>
            <w:shd w:val="clear" w:color="auto" w:fill="DBDBDB"/>
            <w:noWrap/>
            <w:vAlign w:val="center"/>
            <w:hideMark/>
          </w:tcPr>
          <w:p w14:paraId="24531B72"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79</w:t>
            </w:r>
          </w:p>
        </w:tc>
        <w:tc>
          <w:tcPr>
            <w:tcW w:w="1039" w:type="dxa"/>
            <w:tcBorders>
              <w:top w:val="single" w:sz="12" w:space="0" w:color="auto"/>
              <w:left w:val="nil"/>
              <w:bottom w:val="single" w:sz="4" w:space="0" w:color="auto"/>
              <w:right w:val="single" w:sz="4" w:space="0" w:color="auto"/>
            </w:tcBorders>
            <w:shd w:val="clear" w:color="auto" w:fill="DBDBDB"/>
            <w:noWrap/>
            <w:vAlign w:val="center"/>
            <w:hideMark/>
          </w:tcPr>
          <w:p w14:paraId="2350AA79"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24</w:t>
            </w:r>
          </w:p>
        </w:tc>
        <w:tc>
          <w:tcPr>
            <w:tcW w:w="1039" w:type="dxa"/>
            <w:tcBorders>
              <w:top w:val="single" w:sz="12" w:space="0" w:color="auto"/>
              <w:left w:val="nil"/>
              <w:bottom w:val="single" w:sz="4" w:space="0" w:color="auto"/>
              <w:right w:val="nil"/>
            </w:tcBorders>
            <w:shd w:val="clear" w:color="auto" w:fill="DBDBDB"/>
            <w:noWrap/>
            <w:vAlign w:val="center"/>
            <w:hideMark/>
          </w:tcPr>
          <w:p w14:paraId="68A8B76D"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55</w:t>
            </w:r>
          </w:p>
        </w:tc>
        <w:tc>
          <w:tcPr>
            <w:tcW w:w="1033" w:type="dxa"/>
            <w:tcBorders>
              <w:top w:val="single" w:sz="8" w:space="0" w:color="auto"/>
              <w:left w:val="single" w:sz="8" w:space="0" w:color="auto"/>
              <w:bottom w:val="single" w:sz="4" w:space="0" w:color="auto"/>
              <w:right w:val="single" w:sz="8" w:space="0" w:color="auto"/>
            </w:tcBorders>
            <w:shd w:val="clear" w:color="auto" w:fill="B2B2B2"/>
            <w:noWrap/>
            <w:vAlign w:val="center"/>
            <w:hideMark/>
          </w:tcPr>
          <w:p w14:paraId="2B91B7C7"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70</w:t>
            </w:r>
          </w:p>
        </w:tc>
        <w:tc>
          <w:tcPr>
            <w:tcW w:w="1418" w:type="dxa"/>
            <w:tcBorders>
              <w:top w:val="nil"/>
              <w:left w:val="single" w:sz="8" w:space="0" w:color="auto"/>
              <w:bottom w:val="single" w:sz="4" w:space="0" w:color="auto"/>
              <w:right w:val="single" w:sz="8" w:space="0" w:color="auto"/>
            </w:tcBorders>
            <w:shd w:val="clear" w:color="auto" w:fill="EDEDED"/>
            <w:noWrap/>
            <w:vAlign w:val="center"/>
            <w:hideMark/>
          </w:tcPr>
          <w:p w14:paraId="10440558"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80</w:t>
            </w:r>
          </w:p>
        </w:tc>
      </w:tr>
      <w:tr w:rsidR="005D7E3E" w14:paraId="6EE5B870" w14:textId="77777777" w:rsidTr="005D7E3E">
        <w:trPr>
          <w:trHeight w:val="256"/>
        </w:trPr>
        <w:tc>
          <w:tcPr>
            <w:tcW w:w="1467" w:type="dxa"/>
            <w:tcBorders>
              <w:top w:val="nil"/>
              <w:left w:val="double" w:sz="6" w:space="0" w:color="3F3F3F"/>
              <w:bottom w:val="double" w:sz="6" w:space="0" w:color="3F3F3F"/>
              <w:right w:val="nil"/>
            </w:tcBorders>
            <w:shd w:val="clear" w:color="auto" w:fill="A5A5A5"/>
            <w:noWrap/>
            <w:vAlign w:val="bottom"/>
            <w:hideMark/>
          </w:tcPr>
          <w:p w14:paraId="028CD3E2" w14:textId="77777777" w:rsidR="005D7E3E" w:rsidRDefault="005D7E3E">
            <w:pPr>
              <w:rPr>
                <w:rFonts w:ascii="Arial" w:hAnsi="Arial" w:cs="Arial"/>
                <w:sz w:val="20"/>
                <w:lang w:eastAsia="en-GB"/>
              </w:rPr>
            </w:pPr>
            <w:r>
              <w:rPr>
                <w:rFonts w:ascii="Arial" w:hAnsi="Arial" w:cs="Arial"/>
                <w:sz w:val="20"/>
                <w:lang w:eastAsia="en-GB"/>
              </w:rPr>
              <w:t xml:space="preserve">Betsi Cadwaladr </w:t>
            </w:r>
          </w:p>
        </w:tc>
        <w:tc>
          <w:tcPr>
            <w:tcW w:w="1117" w:type="dxa"/>
            <w:tcBorders>
              <w:top w:val="nil"/>
              <w:left w:val="single" w:sz="12" w:space="0" w:color="auto"/>
              <w:bottom w:val="single" w:sz="4" w:space="0" w:color="auto"/>
              <w:right w:val="single" w:sz="4" w:space="0" w:color="auto"/>
            </w:tcBorders>
            <w:shd w:val="clear" w:color="auto" w:fill="DBDBDB"/>
            <w:noWrap/>
            <w:vAlign w:val="center"/>
            <w:hideMark/>
          </w:tcPr>
          <w:p w14:paraId="6FA943D0"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77</w:t>
            </w:r>
          </w:p>
        </w:tc>
        <w:tc>
          <w:tcPr>
            <w:tcW w:w="1039" w:type="dxa"/>
            <w:tcBorders>
              <w:top w:val="nil"/>
              <w:left w:val="nil"/>
              <w:bottom w:val="single" w:sz="4" w:space="0" w:color="auto"/>
              <w:right w:val="single" w:sz="4" w:space="0" w:color="auto"/>
            </w:tcBorders>
            <w:shd w:val="clear" w:color="auto" w:fill="DBDBDB"/>
            <w:noWrap/>
            <w:vAlign w:val="center"/>
            <w:hideMark/>
          </w:tcPr>
          <w:p w14:paraId="4B9B840A"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19</w:t>
            </w:r>
          </w:p>
        </w:tc>
        <w:tc>
          <w:tcPr>
            <w:tcW w:w="1039" w:type="dxa"/>
            <w:tcBorders>
              <w:top w:val="nil"/>
              <w:left w:val="nil"/>
              <w:bottom w:val="single" w:sz="4" w:space="0" w:color="auto"/>
              <w:right w:val="nil"/>
            </w:tcBorders>
            <w:shd w:val="clear" w:color="auto" w:fill="DBDBDB"/>
            <w:noWrap/>
            <w:vAlign w:val="center"/>
            <w:hideMark/>
          </w:tcPr>
          <w:p w14:paraId="28255FC2"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58</w:t>
            </w:r>
          </w:p>
        </w:tc>
        <w:tc>
          <w:tcPr>
            <w:tcW w:w="1033" w:type="dxa"/>
            <w:tcBorders>
              <w:top w:val="nil"/>
              <w:left w:val="single" w:sz="8" w:space="0" w:color="auto"/>
              <w:bottom w:val="single" w:sz="4" w:space="0" w:color="auto"/>
              <w:right w:val="single" w:sz="8" w:space="0" w:color="auto"/>
            </w:tcBorders>
            <w:shd w:val="clear" w:color="auto" w:fill="B2B2B2"/>
            <w:noWrap/>
            <w:vAlign w:val="center"/>
            <w:hideMark/>
          </w:tcPr>
          <w:p w14:paraId="3CD74D13"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75</w:t>
            </w:r>
          </w:p>
        </w:tc>
        <w:tc>
          <w:tcPr>
            <w:tcW w:w="1418" w:type="dxa"/>
            <w:tcBorders>
              <w:top w:val="single" w:sz="8" w:space="0" w:color="auto"/>
              <w:left w:val="single" w:sz="8" w:space="0" w:color="auto"/>
              <w:bottom w:val="single" w:sz="4" w:space="0" w:color="auto"/>
              <w:right w:val="single" w:sz="8" w:space="0" w:color="auto"/>
            </w:tcBorders>
            <w:shd w:val="clear" w:color="auto" w:fill="EDEDED"/>
            <w:noWrap/>
            <w:vAlign w:val="center"/>
            <w:hideMark/>
          </w:tcPr>
          <w:p w14:paraId="2AB4A333"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96</w:t>
            </w:r>
          </w:p>
        </w:tc>
      </w:tr>
      <w:tr w:rsidR="005D7E3E" w14:paraId="6749DC3D" w14:textId="77777777" w:rsidTr="005D7E3E">
        <w:trPr>
          <w:trHeight w:val="256"/>
        </w:trPr>
        <w:tc>
          <w:tcPr>
            <w:tcW w:w="1467" w:type="dxa"/>
            <w:tcBorders>
              <w:top w:val="nil"/>
              <w:left w:val="double" w:sz="6" w:space="0" w:color="3F3F3F"/>
              <w:bottom w:val="double" w:sz="6" w:space="0" w:color="3F3F3F"/>
              <w:right w:val="nil"/>
            </w:tcBorders>
            <w:shd w:val="clear" w:color="auto" w:fill="A5A5A5"/>
            <w:noWrap/>
            <w:vAlign w:val="bottom"/>
            <w:hideMark/>
          </w:tcPr>
          <w:p w14:paraId="7DE18384" w14:textId="77777777" w:rsidR="005D7E3E" w:rsidRDefault="005D7E3E">
            <w:pPr>
              <w:rPr>
                <w:rFonts w:ascii="Arial" w:hAnsi="Arial" w:cs="Arial"/>
                <w:sz w:val="20"/>
                <w:lang w:eastAsia="en-GB"/>
              </w:rPr>
            </w:pPr>
            <w:r>
              <w:rPr>
                <w:rFonts w:ascii="Arial" w:hAnsi="Arial" w:cs="Arial"/>
                <w:sz w:val="20"/>
                <w:lang w:eastAsia="en-GB"/>
              </w:rPr>
              <w:t xml:space="preserve">Cardiff and Vale </w:t>
            </w:r>
          </w:p>
        </w:tc>
        <w:tc>
          <w:tcPr>
            <w:tcW w:w="1117" w:type="dxa"/>
            <w:tcBorders>
              <w:top w:val="nil"/>
              <w:left w:val="single" w:sz="12" w:space="0" w:color="auto"/>
              <w:bottom w:val="single" w:sz="4" w:space="0" w:color="auto"/>
              <w:right w:val="single" w:sz="4" w:space="0" w:color="auto"/>
            </w:tcBorders>
            <w:shd w:val="clear" w:color="auto" w:fill="DBDBDB"/>
            <w:noWrap/>
            <w:vAlign w:val="center"/>
            <w:hideMark/>
          </w:tcPr>
          <w:p w14:paraId="4F7F4F45"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63</w:t>
            </w:r>
          </w:p>
        </w:tc>
        <w:tc>
          <w:tcPr>
            <w:tcW w:w="1039" w:type="dxa"/>
            <w:tcBorders>
              <w:top w:val="nil"/>
              <w:left w:val="nil"/>
              <w:bottom w:val="single" w:sz="4" w:space="0" w:color="auto"/>
              <w:right w:val="single" w:sz="4" w:space="0" w:color="auto"/>
            </w:tcBorders>
            <w:shd w:val="clear" w:color="auto" w:fill="DBDBDB"/>
            <w:noWrap/>
            <w:vAlign w:val="center"/>
            <w:hideMark/>
          </w:tcPr>
          <w:p w14:paraId="6210EEB1"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17</w:t>
            </w:r>
          </w:p>
        </w:tc>
        <w:tc>
          <w:tcPr>
            <w:tcW w:w="1039" w:type="dxa"/>
            <w:tcBorders>
              <w:top w:val="nil"/>
              <w:left w:val="nil"/>
              <w:bottom w:val="single" w:sz="4" w:space="0" w:color="auto"/>
              <w:right w:val="nil"/>
            </w:tcBorders>
            <w:shd w:val="clear" w:color="auto" w:fill="DBDBDB"/>
            <w:noWrap/>
            <w:vAlign w:val="center"/>
            <w:hideMark/>
          </w:tcPr>
          <w:p w14:paraId="3EA1FA55"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46</w:t>
            </w:r>
          </w:p>
        </w:tc>
        <w:tc>
          <w:tcPr>
            <w:tcW w:w="1033" w:type="dxa"/>
            <w:tcBorders>
              <w:top w:val="nil"/>
              <w:left w:val="single" w:sz="8" w:space="0" w:color="auto"/>
              <w:bottom w:val="single" w:sz="4" w:space="0" w:color="auto"/>
              <w:right w:val="single" w:sz="8" w:space="0" w:color="auto"/>
            </w:tcBorders>
            <w:shd w:val="clear" w:color="auto" w:fill="B2B2B2"/>
            <w:noWrap/>
            <w:vAlign w:val="center"/>
            <w:hideMark/>
          </w:tcPr>
          <w:p w14:paraId="670D5649"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73</w:t>
            </w:r>
          </w:p>
        </w:tc>
        <w:tc>
          <w:tcPr>
            <w:tcW w:w="1418" w:type="dxa"/>
            <w:tcBorders>
              <w:top w:val="single" w:sz="8" w:space="0" w:color="auto"/>
              <w:left w:val="single" w:sz="8" w:space="0" w:color="auto"/>
              <w:bottom w:val="single" w:sz="4" w:space="0" w:color="auto"/>
              <w:right w:val="single" w:sz="8" w:space="0" w:color="auto"/>
            </w:tcBorders>
            <w:shd w:val="clear" w:color="auto" w:fill="EDEDED"/>
            <w:noWrap/>
            <w:vAlign w:val="center"/>
            <w:hideMark/>
          </w:tcPr>
          <w:p w14:paraId="05B40C55"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87</w:t>
            </w:r>
          </w:p>
        </w:tc>
      </w:tr>
      <w:tr w:rsidR="005D7E3E" w14:paraId="70CFA375" w14:textId="77777777" w:rsidTr="005D7E3E">
        <w:trPr>
          <w:trHeight w:val="256"/>
        </w:trPr>
        <w:tc>
          <w:tcPr>
            <w:tcW w:w="1467" w:type="dxa"/>
            <w:tcBorders>
              <w:top w:val="nil"/>
              <w:left w:val="double" w:sz="6" w:space="0" w:color="3F3F3F"/>
              <w:bottom w:val="double" w:sz="6" w:space="0" w:color="3F3F3F"/>
              <w:right w:val="nil"/>
            </w:tcBorders>
            <w:shd w:val="clear" w:color="auto" w:fill="A5A5A5"/>
            <w:noWrap/>
            <w:vAlign w:val="bottom"/>
            <w:hideMark/>
          </w:tcPr>
          <w:p w14:paraId="1792F551" w14:textId="77777777" w:rsidR="005D7E3E" w:rsidRDefault="005D7E3E">
            <w:pPr>
              <w:rPr>
                <w:rFonts w:ascii="Arial" w:hAnsi="Arial" w:cs="Arial"/>
                <w:sz w:val="20"/>
                <w:lang w:eastAsia="en-GB"/>
              </w:rPr>
            </w:pPr>
            <w:r>
              <w:rPr>
                <w:rFonts w:ascii="Arial" w:hAnsi="Arial" w:cs="Arial"/>
                <w:sz w:val="20"/>
                <w:lang w:eastAsia="en-GB"/>
              </w:rPr>
              <w:t xml:space="preserve">Cwm Taf Morgannwg </w:t>
            </w:r>
          </w:p>
        </w:tc>
        <w:tc>
          <w:tcPr>
            <w:tcW w:w="1117" w:type="dxa"/>
            <w:tcBorders>
              <w:top w:val="nil"/>
              <w:left w:val="single" w:sz="12" w:space="0" w:color="auto"/>
              <w:bottom w:val="single" w:sz="4" w:space="0" w:color="auto"/>
              <w:right w:val="single" w:sz="4" w:space="0" w:color="auto"/>
            </w:tcBorders>
            <w:shd w:val="clear" w:color="auto" w:fill="DBDBDB"/>
            <w:noWrap/>
            <w:vAlign w:val="center"/>
            <w:hideMark/>
          </w:tcPr>
          <w:p w14:paraId="7BD9E024"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54</w:t>
            </w:r>
          </w:p>
        </w:tc>
        <w:tc>
          <w:tcPr>
            <w:tcW w:w="1039" w:type="dxa"/>
            <w:tcBorders>
              <w:top w:val="nil"/>
              <w:left w:val="nil"/>
              <w:bottom w:val="single" w:sz="4" w:space="0" w:color="auto"/>
              <w:right w:val="single" w:sz="4" w:space="0" w:color="auto"/>
            </w:tcBorders>
            <w:shd w:val="clear" w:color="auto" w:fill="DBDBDB"/>
            <w:noWrap/>
            <w:vAlign w:val="center"/>
            <w:hideMark/>
          </w:tcPr>
          <w:p w14:paraId="7078BC5D"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7</w:t>
            </w:r>
          </w:p>
        </w:tc>
        <w:tc>
          <w:tcPr>
            <w:tcW w:w="1039" w:type="dxa"/>
            <w:tcBorders>
              <w:top w:val="nil"/>
              <w:left w:val="nil"/>
              <w:bottom w:val="single" w:sz="4" w:space="0" w:color="auto"/>
              <w:right w:val="nil"/>
            </w:tcBorders>
            <w:shd w:val="clear" w:color="auto" w:fill="DBDBDB"/>
            <w:noWrap/>
            <w:vAlign w:val="center"/>
            <w:hideMark/>
          </w:tcPr>
          <w:p w14:paraId="62DF1C37"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47</w:t>
            </w:r>
          </w:p>
        </w:tc>
        <w:tc>
          <w:tcPr>
            <w:tcW w:w="1033" w:type="dxa"/>
            <w:tcBorders>
              <w:top w:val="nil"/>
              <w:left w:val="single" w:sz="8" w:space="0" w:color="auto"/>
              <w:bottom w:val="single" w:sz="4" w:space="0" w:color="auto"/>
              <w:right w:val="single" w:sz="8" w:space="0" w:color="auto"/>
            </w:tcBorders>
            <w:shd w:val="clear" w:color="auto" w:fill="B2B2B2"/>
            <w:noWrap/>
            <w:vAlign w:val="center"/>
            <w:hideMark/>
          </w:tcPr>
          <w:p w14:paraId="244A617E"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87</w:t>
            </w:r>
          </w:p>
        </w:tc>
        <w:tc>
          <w:tcPr>
            <w:tcW w:w="1418" w:type="dxa"/>
            <w:tcBorders>
              <w:top w:val="single" w:sz="8" w:space="0" w:color="auto"/>
              <w:left w:val="single" w:sz="8" w:space="0" w:color="auto"/>
              <w:bottom w:val="single" w:sz="4" w:space="0" w:color="auto"/>
              <w:right w:val="single" w:sz="8" w:space="0" w:color="auto"/>
            </w:tcBorders>
            <w:shd w:val="clear" w:color="auto" w:fill="EDEDED"/>
            <w:noWrap/>
            <w:vAlign w:val="center"/>
            <w:hideMark/>
          </w:tcPr>
          <w:p w14:paraId="548AEDBF"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88</w:t>
            </w:r>
          </w:p>
        </w:tc>
      </w:tr>
      <w:tr w:rsidR="005D7E3E" w14:paraId="06C50EE3" w14:textId="77777777" w:rsidTr="005D7E3E">
        <w:trPr>
          <w:trHeight w:val="256"/>
        </w:trPr>
        <w:tc>
          <w:tcPr>
            <w:tcW w:w="1467" w:type="dxa"/>
            <w:tcBorders>
              <w:top w:val="nil"/>
              <w:left w:val="double" w:sz="6" w:space="0" w:color="3F3F3F"/>
              <w:bottom w:val="double" w:sz="6" w:space="0" w:color="3F3F3F"/>
              <w:right w:val="nil"/>
            </w:tcBorders>
            <w:shd w:val="clear" w:color="auto" w:fill="A5A5A5"/>
            <w:noWrap/>
            <w:vAlign w:val="bottom"/>
            <w:hideMark/>
          </w:tcPr>
          <w:p w14:paraId="68BEAEFF" w14:textId="77777777" w:rsidR="005D7E3E" w:rsidRDefault="005D7E3E">
            <w:pPr>
              <w:rPr>
                <w:rFonts w:ascii="Arial" w:hAnsi="Arial" w:cs="Arial"/>
                <w:sz w:val="20"/>
                <w:lang w:eastAsia="en-GB"/>
              </w:rPr>
            </w:pPr>
            <w:r>
              <w:rPr>
                <w:rFonts w:ascii="Arial" w:hAnsi="Arial" w:cs="Arial"/>
                <w:sz w:val="20"/>
                <w:lang w:eastAsia="en-GB"/>
              </w:rPr>
              <w:t xml:space="preserve">Hywel Dda </w:t>
            </w:r>
          </w:p>
        </w:tc>
        <w:tc>
          <w:tcPr>
            <w:tcW w:w="1117" w:type="dxa"/>
            <w:tcBorders>
              <w:top w:val="nil"/>
              <w:left w:val="single" w:sz="12" w:space="0" w:color="auto"/>
              <w:bottom w:val="single" w:sz="4" w:space="0" w:color="auto"/>
              <w:right w:val="single" w:sz="4" w:space="0" w:color="auto"/>
            </w:tcBorders>
            <w:shd w:val="clear" w:color="auto" w:fill="DBDBDB"/>
            <w:noWrap/>
            <w:vAlign w:val="center"/>
            <w:hideMark/>
          </w:tcPr>
          <w:p w14:paraId="764C5143"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58</w:t>
            </w:r>
          </w:p>
        </w:tc>
        <w:tc>
          <w:tcPr>
            <w:tcW w:w="1039" w:type="dxa"/>
            <w:tcBorders>
              <w:top w:val="nil"/>
              <w:left w:val="nil"/>
              <w:bottom w:val="single" w:sz="4" w:space="0" w:color="auto"/>
              <w:right w:val="single" w:sz="4" w:space="0" w:color="auto"/>
            </w:tcBorders>
            <w:shd w:val="clear" w:color="auto" w:fill="DBDBDB"/>
            <w:noWrap/>
            <w:vAlign w:val="center"/>
            <w:hideMark/>
          </w:tcPr>
          <w:p w14:paraId="68D6755E"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12</w:t>
            </w:r>
          </w:p>
        </w:tc>
        <w:tc>
          <w:tcPr>
            <w:tcW w:w="1039" w:type="dxa"/>
            <w:tcBorders>
              <w:top w:val="nil"/>
              <w:left w:val="nil"/>
              <w:bottom w:val="single" w:sz="4" w:space="0" w:color="auto"/>
              <w:right w:val="nil"/>
            </w:tcBorders>
            <w:shd w:val="clear" w:color="auto" w:fill="DBDBDB"/>
            <w:noWrap/>
            <w:vAlign w:val="center"/>
            <w:hideMark/>
          </w:tcPr>
          <w:p w14:paraId="06618512"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46</w:t>
            </w:r>
          </w:p>
        </w:tc>
        <w:tc>
          <w:tcPr>
            <w:tcW w:w="1033" w:type="dxa"/>
            <w:tcBorders>
              <w:top w:val="nil"/>
              <w:left w:val="single" w:sz="8" w:space="0" w:color="auto"/>
              <w:bottom w:val="single" w:sz="4" w:space="0" w:color="auto"/>
              <w:right w:val="single" w:sz="8" w:space="0" w:color="auto"/>
            </w:tcBorders>
            <w:shd w:val="clear" w:color="auto" w:fill="B2B2B2"/>
            <w:noWrap/>
            <w:vAlign w:val="center"/>
            <w:hideMark/>
          </w:tcPr>
          <w:p w14:paraId="663AC8EC"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79</w:t>
            </w:r>
          </w:p>
        </w:tc>
        <w:tc>
          <w:tcPr>
            <w:tcW w:w="1418" w:type="dxa"/>
            <w:tcBorders>
              <w:top w:val="single" w:sz="8" w:space="0" w:color="auto"/>
              <w:left w:val="single" w:sz="8" w:space="0" w:color="auto"/>
              <w:bottom w:val="single" w:sz="4" w:space="0" w:color="auto"/>
              <w:right w:val="single" w:sz="8" w:space="0" w:color="auto"/>
            </w:tcBorders>
            <w:shd w:val="clear" w:color="auto" w:fill="EDEDED"/>
            <w:noWrap/>
            <w:vAlign w:val="center"/>
            <w:hideMark/>
          </w:tcPr>
          <w:p w14:paraId="783AE737"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92</w:t>
            </w:r>
          </w:p>
        </w:tc>
      </w:tr>
      <w:tr w:rsidR="005D7E3E" w14:paraId="73D3F740" w14:textId="77777777" w:rsidTr="005D7E3E">
        <w:trPr>
          <w:trHeight w:val="256"/>
        </w:trPr>
        <w:tc>
          <w:tcPr>
            <w:tcW w:w="1467" w:type="dxa"/>
            <w:tcBorders>
              <w:top w:val="nil"/>
              <w:left w:val="double" w:sz="6" w:space="0" w:color="3F3F3F"/>
              <w:bottom w:val="double" w:sz="6" w:space="0" w:color="3F3F3F"/>
              <w:right w:val="nil"/>
            </w:tcBorders>
            <w:shd w:val="clear" w:color="auto" w:fill="A5A5A5"/>
            <w:noWrap/>
            <w:vAlign w:val="bottom"/>
            <w:hideMark/>
          </w:tcPr>
          <w:p w14:paraId="50D8CF24" w14:textId="77777777" w:rsidR="005D7E3E" w:rsidRDefault="005D7E3E">
            <w:pPr>
              <w:rPr>
                <w:rFonts w:ascii="Arial" w:hAnsi="Arial" w:cs="Arial"/>
                <w:sz w:val="20"/>
                <w:lang w:eastAsia="en-GB"/>
              </w:rPr>
            </w:pPr>
            <w:r>
              <w:rPr>
                <w:rFonts w:ascii="Arial" w:hAnsi="Arial" w:cs="Arial"/>
                <w:sz w:val="20"/>
                <w:lang w:eastAsia="en-GB"/>
              </w:rPr>
              <w:t xml:space="preserve">Powys </w:t>
            </w:r>
          </w:p>
        </w:tc>
        <w:tc>
          <w:tcPr>
            <w:tcW w:w="1117" w:type="dxa"/>
            <w:tcBorders>
              <w:top w:val="nil"/>
              <w:left w:val="single" w:sz="12" w:space="0" w:color="auto"/>
              <w:bottom w:val="single" w:sz="4" w:space="0" w:color="auto"/>
              <w:right w:val="single" w:sz="4" w:space="0" w:color="auto"/>
            </w:tcBorders>
            <w:shd w:val="clear" w:color="auto" w:fill="DBDBDB"/>
            <w:noWrap/>
            <w:vAlign w:val="center"/>
            <w:hideMark/>
          </w:tcPr>
          <w:p w14:paraId="288F6628"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22</w:t>
            </w:r>
          </w:p>
        </w:tc>
        <w:tc>
          <w:tcPr>
            <w:tcW w:w="1039" w:type="dxa"/>
            <w:tcBorders>
              <w:top w:val="nil"/>
              <w:left w:val="nil"/>
              <w:bottom w:val="single" w:sz="4" w:space="0" w:color="auto"/>
              <w:right w:val="single" w:sz="4" w:space="0" w:color="auto"/>
            </w:tcBorders>
            <w:shd w:val="clear" w:color="auto" w:fill="DBDBDB"/>
            <w:noWrap/>
            <w:vAlign w:val="center"/>
            <w:hideMark/>
          </w:tcPr>
          <w:p w14:paraId="204ECA59"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5</w:t>
            </w:r>
          </w:p>
        </w:tc>
        <w:tc>
          <w:tcPr>
            <w:tcW w:w="1039" w:type="dxa"/>
            <w:tcBorders>
              <w:top w:val="nil"/>
              <w:left w:val="nil"/>
              <w:bottom w:val="single" w:sz="4" w:space="0" w:color="auto"/>
              <w:right w:val="nil"/>
            </w:tcBorders>
            <w:shd w:val="clear" w:color="auto" w:fill="DBDBDB"/>
            <w:noWrap/>
            <w:vAlign w:val="center"/>
            <w:hideMark/>
          </w:tcPr>
          <w:p w14:paraId="09B58C8E"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17</w:t>
            </w:r>
          </w:p>
        </w:tc>
        <w:tc>
          <w:tcPr>
            <w:tcW w:w="1033" w:type="dxa"/>
            <w:tcBorders>
              <w:top w:val="nil"/>
              <w:left w:val="single" w:sz="8" w:space="0" w:color="auto"/>
              <w:bottom w:val="single" w:sz="4" w:space="0" w:color="auto"/>
              <w:right w:val="single" w:sz="8" w:space="0" w:color="auto"/>
            </w:tcBorders>
            <w:shd w:val="clear" w:color="auto" w:fill="B2B2B2"/>
            <w:noWrap/>
            <w:vAlign w:val="center"/>
            <w:hideMark/>
          </w:tcPr>
          <w:p w14:paraId="14DDDD5C"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77</w:t>
            </w:r>
          </w:p>
        </w:tc>
        <w:tc>
          <w:tcPr>
            <w:tcW w:w="1418" w:type="dxa"/>
            <w:tcBorders>
              <w:top w:val="single" w:sz="8" w:space="0" w:color="auto"/>
              <w:left w:val="single" w:sz="8" w:space="0" w:color="auto"/>
              <w:bottom w:val="single" w:sz="4" w:space="0" w:color="auto"/>
              <w:right w:val="single" w:sz="8" w:space="0" w:color="auto"/>
            </w:tcBorders>
            <w:shd w:val="clear" w:color="auto" w:fill="EDEDED"/>
            <w:noWrap/>
            <w:vAlign w:val="center"/>
            <w:hideMark/>
          </w:tcPr>
          <w:p w14:paraId="1E81C7A0"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84</w:t>
            </w:r>
          </w:p>
        </w:tc>
      </w:tr>
      <w:tr w:rsidR="005D7E3E" w14:paraId="3261EBDC" w14:textId="77777777" w:rsidTr="005D7E3E">
        <w:trPr>
          <w:trHeight w:val="256"/>
        </w:trPr>
        <w:tc>
          <w:tcPr>
            <w:tcW w:w="1467" w:type="dxa"/>
            <w:tcBorders>
              <w:top w:val="nil"/>
              <w:left w:val="double" w:sz="6" w:space="0" w:color="3F3F3F"/>
              <w:bottom w:val="double" w:sz="6" w:space="0" w:color="3F3F3F"/>
              <w:right w:val="nil"/>
            </w:tcBorders>
            <w:shd w:val="clear" w:color="auto" w:fill="A5A5A5"/>
            <w:noWrap/>
            <w:vAlign w:val="bottom"/>
            <w:hideMark/>
          </w:tcPr>
          <w:p w14:paraId="25C13FF2" w14:textId="77777777" w:rsidR="005D7E3E" w:rsidRDefault="005D7E3E">
            <w:pPr>
              <w:rPr>
                <w:rFonts w:ascii="Arial" w:hAnsi="Arial" w:cs="Arial"/>
                <w:sz w:val="20"/>
                <w:lang w:eastAsia="en-GB"/>
              </w:rPr>
            </w:pPr>
            <w:r>
              <w:rPr>
                <w:rFonts w:ascii="Arial" w:hAnsi="Arial" w:cs="Arial"/>
                <w:sz w:val="20"/>
                <w:lang w:eastAsia="en-GB"/>
              </w:rPr>
              <w:t xml:space="preserve">Swansea Bay </w:t>
            </w:r>
          </w:p>
        </w:tc>
        <w:tc>
          <w:tcPr>
            <w:tcW w:w="1117" w:type="dxa"/>
            <w:tcBorders>
              <w:top w:val="nil"/>
              <w:left w:val="single" w:sz="12" w:space="0" w:color="auto"/>
              <w:bottom w:val="nil"/>
              <w:right w:val="single" w:sz="4" w:space="0" w:color="auto"/>
            </w:tcBorders>
            <w:shd w:val="clear" w:color="auto" w:fill="DBDBDB"/>
            <w:noWrap/>
            <w:vAlign w:val="center"/>
            <w:hideMark/>
          </w:tcPr>
          <w:p w14:paraId="01BEFDC3"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60</w:t>
            </w:r>
          </w:p>
        </w:tc>
        <w:tc>
          <w:tcPr>
            <w:tcW w:w="1039" w:type="dxa"/>
            <w:tcBorders>
              <w:top w:val="nil"/>
              <w:left w:val="nil"/>
              <w:bottom w:val="nil"/>
              <w:right w:val="single" w:sz="4" w:space="0" w:color="auto"/>
            </w:tcBorders>
            <w:shd w:val="clear" w:color="auto" w:fill="DBDBDB"/>
            <w:noWrap/>
            <w:vAlign w:val="center"/>
            <w:hideMark/>
          </w:tcPr>
          <w:p w14:paraId="1719C2F6"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7</w:t>
            </w:r>
          </w:p>
        </w:tc>
        <w:tc>
          <w:tcPr>
            <w:tcW w:w="1039" w:type="dxa"/>
            <w:shd w:val="clear" w:color="auto" w:fill="DBDBDB"/>
            <w:noWrap/>
            <w:vAlign w:val="center"/>
            <w:hideMark/>
          </w:tcPr>
          <w:p w14:paraId="525915C9"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53</w:t>
            </w:r>
          </w:p>
        </w:tc>
        <w:tc>
          <w:tcPr>
            <w:tcW w:w="1033" w:type="dxa"/>
            <w:tcBorders>
              <w:top w:val="nil"/>
              <w:left w:val="single" w:sz="8" w:space="0" w:color="auto"/>
              <w:bottom w:val="single" w:sz="8" w:space="0" w:color="auto"/>
              <w:right w:val="single" w:sz="8" w:space="0" w:color="auto"/>
            </w:tcBorders>
            <w:shd w:val="clear" w:color="auto" w:fill="B2B2B2"/>
            <w:noWrap/>
            <w:vAlign w:val="center"/>
            <w:hideMark/>
          </w:tcPr>
          <w:p w14:paraId="3EA59643"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88</w:t>
            </w:r>
          </w:p>
        </w:tc>
        <w:tc>
          <w:tcPr>
            <w:tcW w:w="1418" w:type="dxa"/>
            <w:tcBorders>
              <w:top w:val="single" w:sz="8" w:space="0" w:color="auto"/>
              <w:left w:val="single" w:sz="8" w:space="0" w:color="auto"/>
              <w:bottom w:val="nil"/>
              <w:right w:val="single" w:sz="8" w:space="0" w:color="auto"/>
            </w:tcBorders>
            <w:shd w:val="clear" w:color="auto" w:fill="EDEDED"/>
            <w:noWrap/>
            <w:vAlign w:val="center"/>
            <w:hideMark/>
          </w:tcPr>
          <w:p w14:paraId="718264CC" w14:textId="77777777" w:rsidR="005D7E3E" w:rsidRDefault="005D7E3E">
            <w:pPr>
              <w:jc w:val="center"/>
              <w:rPr>
                <w:rFonts w:ascii="Arial" w:hAnsi="Arial" w:cs="Arial"/>
                <w:color w:val="000000"/>
                <w:sz w:val="20"/>
                <w:lang w:eastAsia="en-GB"/>
              </w:rPr>
            </w:pPr>
            <w:r>
              <w:rPr>
                <w:rFonts w:ascii="Arial" w:hAnsi="Arial" w:cs="Arial"/>
                <w:color w:val="000000"/>
                <w:sz w:val="20"/>
                <w:lang w:eastAsia="en-GB"/>
              </w:rPr>
              <w:t>99</w:t>
            </w:r>
          </w:p>
        </w:tc>
      </w:tr>
      <w:tr w:rsidR="005D7E3E" w14:paraId="5AF3CEA2" w14:textId="77777777" w:rsidTr="005D7E3E">
        <w:trPr>
          <w:trHeight w:val="256"/>
        </w:trPr>
        <w:tc>
          <w:tcPr>
            <w:tcW w:w="1467" w:type="dxa"/>
            <w:noWrap/>
            <w:vAlign w:val="bottom"/>
            <w:hideMark/>
          </w:tcPr>
          <w:p w14:paraId="71A2133D" w14:textId="77777777" w:rsidR="005D7E3E" w:rsidRDefault="005D7E3E">
            <w:pPr>
              <w:rPr>
                <w:rFonts w:ascii="Arial" w:hAnsi="Arial" w:cs="Arial"/>
                <w:color w:val="000000"/>
                <w:sz w:val="20"/>
                <w:lang w:eastAsia="en-GB"/>
              </w:rPr>
            </w:pPr>
          </w:p>
        </w:tc>
        <w:tc>
          <w:tcPr>
            <w:tcW w:w="1117" w:type="dxa"/>
            <w:tcBorders>
              <w:top w:val="single" w:sz="8" w:space="0" w:color="auto"/>
              <w:left w:val="single" w:sz="8" w:space="0" w:color="auto"/>
              <w:bottom w:val="single" w:sz="8" w:space="0" w:color="auto"/>
              <w:right w:val="nil"/>
            </w:tcBorders>
            <w:noWrap/>
            <w:vAlign w:val="bottom"/>
            <w:hideMark/>
          </w:tcPr>
          <w:p w14:paraId="71C8ED77" w14:textId="77777777" w:rsidR="005D7E3E" w:rsidRDefault="005D7E3E">
            <w:pPr>
              <w:jc w:val="center"/>
              <w:rPr>
                <w:rFonts w:ascii="Arial" w:hAnsi="Arial" w:cs="Arial"/>
                <w:b/>
                <w:bCs/>
                <w:color w:val="000000"/>
                <w:sz w:val="20"/>
                <w:lang w:eastAsia="en-GB"/>
              </w:rPr>
            </w:pPr>
            <w:r>
              <w:rPr>
                <w:rFonts w:ascii="Arial" w:hAnsi="Arial" w:cs="Arial"/>
                <w:b/>
                <w:bCs/>
                <w:color w:val="000000"/>
                <w:sz w:val="20"/>
                <w:lang w:eastAsia="en-GB"/>
              </w:rPr>
              <w:t>413</w:t>
            </w:r>
          </w:p>
        </w:tc>
        <w:tc>
          <w:tcPr>
            <w:tcW w:w="1039" w:type="dxa"/>
            <w:tcBorders>
              <w:top w:val="single" w:sz="8" w:space="0" w:color="auto"/>
              <w:left w:val="nil"/>
              <w:bottom w:val="single" w:sz="8" w:space="0" w:color="auto"/>
              <w:right w:val="nil"/>
            </w:tcBorders>
            <w:noWrap/>
            <w:vAlign w:val="bottom"/>
            <w:hideMark/>
          </w:tcPr>
          <w:p w14:paraId="444AD40F" w14:textId="77777777" w:rsidR="005D7E3E" w:rsidRDefault="005D7E3E">
            <w:pPr>
              <w:jc w:val="center"/>
              <w:rPr>
                <w:rFonts w:ascii="Arial" w:hAnsi="Arial" w:cs="Arial"/>
                <w:b/>
                <w:bCs/>
                <w:color w:val="000000"/>
                <w:sz w:val="20"/>
                <w:lang w:eastAsia="en-GB"/>
              </w:rPr>
            </w:pPr>
            <w:r>
              <w:rPr>
                <w:rFonts w:ascii="Arial" w:hAnsi="Arial" w:cs="Arial"/>
                <w:b/>
                <w:bCs/>
                <w:color w:val="000000"/>
                <w:sz w:val="20"/>
                <w:lang w:eastAsia="en-GB"/>
              </w:rPr>
              <w:t>91</w:t>
            </w:r>
          </w:p>
        </w:tc>
        <w:tc>
          <w:tcPr>
            <w:tcW w:w="1039" w:type="dxa"/>
            <w:tcBorders>
              <w:top w:val="single" w:sz="8" w:space="0" w:color="auto"/>
              <w:left w:val="nil"/>
              <w:bottom w:val="single" w:sz="8" w:space="0" w:color="auto"/>
              <w:right w:val="single" w:sz="8" w:space="0" w:color="auto"/>
            </w:tcBorders>
            <w:noWrap/>
            <w:vAlign w:val="bottom"/>
            <w:hideMark/>
          </w:tcPr>
          <w:p w14:paraId="05B61799" w14:textId="77777777" w:rsidR="005D7E3E" w:rsidRDefault="005D7E3E">
            <w:pPr>
              <w:jc w:val="center"/>
              <w:rPr>
                <w:rFonts w:ascii="Arial" w:hAnsi="Arial" w:cs="Arial"/>
                <w:b/>
                <w:bCs/>
                <w:color w:val="000000"/>
                <w:sz w:val="20"/>
                <w:lang w:eastAsia="en-GB"/>
              </w:rPr>
            </w:pPr>
            <w:r>
              <w:rPr>
                <w:rFonts w:ascii="Arial" w:hAnsi="Arial" w:cs="Arial"/>
                <w:b/>
                <w:bCs/>
                <w:color w:val="000000"/>
                <w:sz w:val="20"/>
                <w:lang w:eastAsia="en-GB"/>
              </w:rPr>
              <w:t>322</w:t>
            </w:r>
          </w:p>
        </w:tc>
        <w:tc>
          <w:tcPr>
            <w:tcW w:w="1033" w:type="dxa"/>
            <w:tcBorders>
              <w:top w:val="nil"/>
              <w:left w:val="nil"/>
              <w:bottom w:val="single" w:sz="4" w:space="0" w:color="auto"/>
              <w:right w:val="single" w:sz="8" w:space="0" w:color="auto"/>
            </w:tcBorders>
            <w:shd w:val="clear" w:color="auto" w:fill="B2B2B2"/>
            <w:noWrap/>
            <w:vAlign w:val="center"/>
            <w:hideMark/>
          </w:tcPr>
          <w:p w14:paraId="35B3FB62" w14:textId="77777777" w:rsidR="005D7E3E" w:rsidRDefault="005D7E3E">
            <w:pPr>
              <w:jc w:val="center"/>
              <w:rPr>
                <w:rFonts w:ascii="Arial" w:hAnsi="Arial" w:cs="Arial"/>
                <w:b/>
                <w:bCs/>
                <w:color w:val="000000"/>
                <w:sz w:val="20"/>
                <w:lang w:eastAsia="en-GB"/>
              </w:rPr>
            </w:pPr>
            <w:r>
              <w:rPr>
                <w:rFonts w:ascii="Arial" w:hAnsi="Arial" w:cs="Arial"/>
                <w:b/>
                <w:bCs/>
                <w:color w:val="000000"/>
                <w:sz w:val="20"/>
                <w:lang w:eastAsia="en-GB"/>
              </w:rPr>
              <w:t>78</w:t>
            </w:r>
          </w:p>
        </w:tc>
        <w:tc>
          <w:tcPr>
            <w:tcW w:w="1418" w:type="dxa"/>
            <w:tcBorders>
              <w:top w:val="single" w:sz="8" w:space="0" w:color="auto"/>
              <w:left w:val="single" w:sz="8" w:space="0" w:color="auto"/>
              <w:bottom w:val="single" w:sz="8" w:space="0" w:color="auto"/>
              <w:right w:val="single" w:sz="8" w:space="0" w:color="auto"/>
            </w:tcBorders>
            <w:shd w:val="clear" w:color="auto" w:fill="EDEDED"/>
            <w:noWrap/>
            <w:vAlign w:val="center"/>
            <w:hideMark/>
          </w:tcPr>
          <w:p w14:paraId="54BFBE49" w14:textId="77777777" w:rsidR="005D7E3E" w:rsidRDefault="005D7E3E">
            <w:pPr>
              <w:jc w:val="center"/>
              <w:rPr>
                <w:rFonts w:ascii="Arial" w:hAnsi="Arial" w:cs="Arial"/>
                <w:b/>
                <w:bCs/>
                <w:color w:val="000000"/>
                <w:sz w:val="20"/>
                <w:lang w:eastAsia="en-GB"/>
              </w:rPr>
            </w:pPr>
            <w:r>
              <w:rPr>
                <w:rFonts w:ascii="Arial" w:hAnsi="Arial" w:cs="Arial"/>
                <w:b/>
                <w:bCs/>
                <w:color w:val="000000"/>
                <w:sz w:val="20"/>
                <w:lang w:eastAsia="en-GB"/>
              </w:rPr>
              <w:t>89</w:t>
            </w:r>
          </w:p>
        </w:tc>
      </w:tr>
    </w:tbl>
    <w:p w14:paraId="564B0E11" w14:textId="77777777" w:rsidR="005D7E3E" w:rsidRDefault="005D7E3E" w:rsidP="005D7E3E">
      <w:pPr>
        <w:jc w:val="both"/>
        <w:rPr>
          <w:rFonts w:ascii="Arial" w:hAnsi="Arial" w:cs="Arial"/>
          <w:iCs/>
          <w:sz w:val="24"/>
          <w:szCs w:val="24"/>
        </w:rPr>
      </w:pPr>
    </w:p>
    <w:p w14:paraId="22B7B737" w14:textId="090F4502" w:rsidR="00A845A9" w:rsidRPr="000122C8" w:rsidRDefault="00FD693E" w:rsidP="00FD693E">
      <w:r w:rsidRPr="000122C8">
        <w:rPr>
          <w:rFonts w:ascii="Arial" w:hAnsi="Arial" w:cs="Arial"/>
          <w:sz w:val="24"/>
          <w:szCs w:val="24"/>
          <w:lang w:eastAsia="en-GB"/>
        </w:rPr>
        <w:t xml:space="preserve">This statement is being issued during recess </w:t>
      </w:r>
      <w:proofErr w:type="gramStart"/>
      <w:r w:rsidRPr="000122C8">
        <w:rPr>
          <w:rFonts w:ascii="Arial" w:hAnsi="Arial" w:cs="Arial"/>
          <w:sz w:val="24"/>
          <w:szCs w:val="24"/>
          <w:lang w:eastAsia="en-GB"/>
        </w:rPr>
        <w:t>in order to</w:t>
      </w:r>
      <w:proofErr w:type="gramEnd"/>
      <w:r w:rsidRPr="000122C8">
        <w:rPr>
          <w:rFonts w:ascii="Arial" w:hAnsi="Arial" w:cs="Arial"/>
          <w:sz w:val="24"/>
          <w:szCs w:val="24"/>
          <w:lang w:eastAsia="en-GB"/>
        </w:rPr>
        <w:t xml:space="preserve"> keep members informed. Should members wish me to make a further statement or to answer questions on this when the Senedd returns I would be happy to do so</w:t>
      </w:r>
      <w:r w:rsidR="000122C8">
        <w:rPr>
          <w:rFonts w:ascii="Arial" w:hAnsi="Arial" w:cs="Arial"/>
          <w:sz w:val="24"/>
          <w:szCs w:val="24"/>
          <w:lang w:eastAsia="en-GB"/>
        </w:rPr>
        <w:t>.</w:t>
      </w:r>
    </w:p>
    <w:sectPr w:rsidR="00A845A9" w:rsidRPr="000122C8" w:rsidSect="0061369C">
      <w:footerReference w:type="even" r:id="rId8"/>
      <w:footerReference w:type="default" r:id="rId9"/>
      <w:headerReference w:type="first" r:id="rId10"/>
      <w:footerReference w:type="first" r:id="rId11"/>
      <w:pgSz w:w="11906" w:h="16838" w:code="9"/>
      <w:pgMar w:top="2694"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AC34" w14:textId="77777777" w:rsidR="00605B83" w:rsidRDefault="00605B83">
      <w:r>
        <w:separator/>
      </w:r>
    </w:p>
  </w:endnote>
  <w:endnote w:type="continuationSeparator" w:id="0">
    <w:p w14:paraId="1DD096B4" w14:textId="77777777" w:rsidR="00605B83" w:rsidRDefault="0060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B74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7B74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B742" w14:textId="4DCA281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677">
      <w:rPr>
        <w:rStyle w:val="PageNumber"/>
        <w:noProof/>
      </w:rPr>
      <w:t>2</w:t>
    </w:r>
    <w:r>
      <w:rPr>
        <w:rStyle w:val="PageNumber"/>
      </w:rPr>
      <w:fldChar w:fldCharType="end"/>
    </w:r>
  </w:p>
  <w:p w14:paraId="22B7B74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B747"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2B7B74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0434" w14:textId="77777777" w:rsidR="00605B83" w:rsidRDefault="00605B83">
      <w:r>
        <w:separator/>
      </w:r>
    </w:p>
  </w:footnote>
  <w:footnote w:type="continuationSeparator" w:id="0">
    <w:p w14:paraId="612CC386" w14:textId="77777777" w:rsidR="00605B83" w:rsidRDefault="0060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B744" w14:textId="77777777" w:rsidR="00AE064D" w:rsidRDefault="000C5E9B">
    <w:r>
      <w:rPr>
        <w:noProof/>
        <w:lang w:eastAsia="en-GB"/>
      </w:rPr>
      <w:drawing>
        <wp:anchor distT="0" distB="0" distL="114300" distR="114300" simplePos="0" relativeHeight="251657728" behindDoc="1" locked="0" layoutInCell="1" allowOverlap="1" wp14:anchorId="22B7B749" wp14:editId="22B7B74A">
          <wp:simplePos x="0" y="0"/>
          <wp:positionH relativeFrom="column">
            <wp:posOffset>4637405</wp:posOffset>
          </wp:positionH>
          <wp:positionV relativeFrom="paragraph">
            <wp:posOffset>-111760</wp:posOffset>
          </wp:positionV>
          <wp:extent cx="1476375" cy="1400175"/>
          <wp:effectExtent l="0" t="0" r="9525" b="9525"/>
          <wp:wrapNone/>
          <wp:docPr id="7" name="Picture 7"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2B7B745" w14:textId="77777777" w:rsidR="00DD4B82" w:rsidRDefault="00DD4B82">
    <w:pPr>
      <w:pStyle w:val="Header"/>
    </w:pPr>
  </w:p>
  <w:p w14:paraId="22B7B74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19757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22C8"/>
    <w:rsid w:val="00023B69"/>
    <w:rsid w:val="000353AE"/>
    <w:rsid w:val="000516D9"/>
    <w:rsid w:val="00064966"/>
    <w:rsid w:val="0006774B"/>
    <w:rsid w:val="0007126A"/>
    <w:rsid w:val="00082B81"/>
    <w:rsid w:val="00090C3D"/>
    <w:rsid w:val="00097118"/>
    <w:rsid w:val="000C3A52"/>
    <w:rsid w:val="000C53DB"/>
    <w:rsid w:val="000C5E9B"/>
    <w:rsid w:val="00134918"/>
    <w:rsid w:val="001379F7"/>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A7405"/>
    <w:rsid w:val="005B030B"/>
    <w:rsid w:val="005D2A41"/>
    <w:rsid w:val="005D7663"/>
    <w:rsid w:val="005D7E3E"/>
    <w:rsid w:val="005F1659"/>
    <w:rsid w:val="00603548"/>
    <w:rsid w:val="00605B83"/>
    <w:rsid w:val="0061369C"/>
    <w:rsid w:val="00654C0A"/>
    <w:rsid w:val="006633C7"/>
    <w:rsid w:val="00663F04"/>
    <w:rsid w:val="00670227"/>
    <w:rsid w:val="006814BD"/>
    <w:rsid w:val="0069133F"/>
    <w:rsid w:val="006B340E"/>
    <w:rsid w:val="006B461D"/>
    <w:rsid w:val="006E0A2C"/>
    <w:rsid w:val="00703993"/>
    <w:rsid w:val="00710815"/>
    <w:rsid w:val="007127D2"/>
    <w:rsid w:val="0073380E"/>
    <w:rsid w:val="00743B79"/>
    <w:rsid w:val="007523BC"/>
    <w:rsid w:val="00752C48"/>
    <w:rsid w:val="0075585F"/>
    <w:rsid w:val="007A05FB"/>
    <w:rsid w:val="007B5260"/>
    <w:rsid w:val="007C24E7"/>
    <w:rsid w:val="007D1402"/>
    <w:rsid w:val="007F5E64"/>
    <w:rsid w:val="00800FA0"/>
    <w:rsid w:val="00812370"/>
    <w:rsid w:val="0082411A"/>
    <w:rsid w:val="00841628"/>
    <w:rsid w:val="00846160"/>
    <w:rsid w:val="00877BD2"/>
    <w:rsid w:val="008B3EA1"/>
    <w:rsid w:val="008B7927"/>
    <w:rsid w:val="008D1E0B"/>
    <w:rsid w:val="008F0CC6"/>
    <w:rsid w:val="008F789E"/>
    <w:rsid w:val="00905771"/>
    <w:rsid w:val="00953A46"/>
    <w:rsid w:val="00967473"/>
    <w:rsid w:val="00971677"/>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B7198"/>
    <w:rsid w:val="00AC0E9A"/>
    <w:rsid w:val="00AD65F1"/>
    <w:rsid w:val="00AE064D"/>
    <w:rsid w:val="00AF056B"/>
    <w:rsid w:val="00B049B1"/>
    <w:rsid w:val="00B239BA"/>
    <w:rsid w:val="00B468BB"/>
    <w:rsid w:val="00B60D62"/>
    <w:rsid w:val="00B81F17"/>
    <w:rsid w:val="00C30DD3"/>
    <w:rsid w:val="00C43B4A"/>
    <w:rsid w:val="00C62E9D"/>
    <w:rsid w:val="00C64FA5"/>
    <w:rsid w:val="00C84A12"/>
    <w:rsid w:val="00CF3DC5"/>
    <w:rsid w:val="00D017E2"/>
    <w:rsid w:val="00D16D97"/>
    <w:rsid w:val="00D27F42"/>
    <w:rsid w:val="00D84713"/>
    <w:rsid w:val="00D920D3"/>
    <w:rsid w:val="00DD4B82"/>
    <w:rsid w:val="00E1556F"/>
    <w:rsid w:val="00E3419E"/>
    <w:rsid w:val="00E47B1A"/>
    <w:rsid w:val="00E631B1"/>
    <w:rsid w:val="00E9789B"/>
    <w:rsid w:val="00EA5290"/>
    <w:rsid w:val="00EB248F"/>
    <w:rsid w:val="00EB5F93"/>
    <w:rsid w:val="00EC0568"/>
    <w:rsid w:val="00EE721A"/>
    <w:rsid w:val="00F0272E"/>
    <w:rsid w:val="00F2438B"/>
    <w:rsid w:val="00F81C33"/>
    <w:rsid w:val="00F923C2"/>
    <w:rsid w:val="00F97613"/>
    <w:rsid w:val="00FD693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7B71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link w:val="Header"/>
    <w:rsid w:val="00971677"/>
    <w:rPr>
      <w:rFonts w:ascii="TradeGothic" w:hAnsi="TradeGothic"/>
      <w:sz w:val="22"/>
      <w:lang w:eastAsia="en-US"/>
    </w:rPr>
  </w:style>
  <w:style w:type="paragraph" w:styleId="Revision">
    <w:name w:val="Revision"/>
    <w:hidden/>
    <w:uiPriority w:val="99"/>
    <w:semiHidden/>
    <w:rsid w:val="00B60D62"/>
    <w:rPr>
      <w:rFonts w:ascii="TradeGothic" w:hAnsi="TradeGothic"/>
      <w:sz w:val="22"/>
      <w:lang w:eastAsia="en-US"/>
    </w:rPr>
  </w:style>
  <w:style w:type="character" w:customStyle="1" w:styleId="Heading1Char">
    <w:name w:val="Heading 1 Char"/>
    <w:basedOn w:val="DefaultParagraphFont"/>
    <w:link w:val="Heading1"/>
    <w:rsid w:val="005D7E3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5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A40737696</value>
    </field>
    <field name="Objective-Title">
      <value order="0">2022-07-07 - Minister WS - Contract reform opt-in draft</value>
    </field>
    <field name="Objective-Description">
      <value order="0"/>
    </field>
    <field name="Objective-CreationStamp">
      <value order="0">2022-03-03T12:29:52Z</value>
    </field>
    <field name="Objective-IsApproved">
      <value order="0">false</value>
    </field>
    <field name="Objective-IsPublished">
      <value order="0">false</value>
    </field>
    <field name="Objective-DatePublished">
      <value order="0"/>
    </field>
    <field name="Objective-ModificationStamp">
      <value order="0">2022-07-21T16:32:54Z</value>
    </field>
    <field name="Objective-Owner">
      <value order="0">McCamley, Gemma (HSS - Primary Care &amp; Mental Health - Dental)</value>
    </field>
    <field name="Objective-Path">
      <value order="0">Objective Global Folder:Business File Plan:WG Organisational Groups:NEW - Post April 2022 - Health &amp; Social Services:HSS Director of Primary Care &amp; Mental Health:Health &amp; Social Services (HSS) - PC&amp;MH - Primary Care:1 - Save:Dental Services:Dental Contract Reform:Dental Contract Reform - Administration and Planning - 2021-2025</value>
    </field>
    <field name="Objective-Parent">
      <value order="0">Dental Contract Reform - Administration and Planning - 2021-2025</value>
    </field>
    <field name="Objective-State">
      <value order="0">Being Edited</value>
    </field>
    <field name="Objective-VersionId">
      <value order="0">vA79537756</value>
    </field>
    <field name="Objective-Version">
      <value order="0">13.1</value>
    </field>
    <field name="Objective-VersionNumber">
      <value order="0">16</value>
    </field>
    <field name="Objective-VersionComment">
      <value order="0"/>
    </field>
    <field name="Objective-FileNumber">
      <value order="0">qA1450848</value>
    </field>
    <field name="Objective-Classification">
      <value order="0">Official</value>
    </field>
    <field name="Objective-Caveats">
      <value order="0"/>
    </field>
  </systemFields>
  <catalogues>
    <catalogue name="Document Type Catalogue" type="type" ori="id:cA14">
      <field name="Objective-Date Acquired">
        <value order="0">2022-03-02T23:00:00Z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2022-07-21T16:03:00Z</cp:lastPrinted>
  <dcterms:created xsi:type="dcterms:W3CDTF">2022-07-26T12:48:00Z</dcterms:created>
  <dcterms:modified xsi:type="dcterms:W3CDTF">2022-07-26T12:48:00Z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A40737696</vt:lpwstr>
  </property>
  <property fmtid="{D5CDD505-2E9C-101B-9397-08002B2CF9AE}" pid="4" name="Objective-Title">
    <vt:lpwstr>2022-07-07 - Minister WS - Contract reform opt-in draft</vt:lpwstr>
  </property>
  <property fmtid="{D5CDD505-2E9C-101B-9397-08002B2CF9AE}" pid="5" name="Objective-Comment">
    <vt:lpwstr/>
  </property>
  <property fmtid="{D5CDD505-2E9C-101B-9397-08002B2CF9AE}" pid="6" name="Objective-CreationStamp">
    <vt:filetime>2022-05-19T14:31:58Z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2022-07-21T16:32:54Z</vt:filetime>
  </property>
  <property fmtid="{D5CDD505-2E9C-101B-9397-08002B2CF9AE}" pid="11" name="Objective-Owner">
    <vt:lpwstr>McCamley, Gemma (HSS - Primary Care &amp; Mental Health - Dental)</vt:lpwstr>
  </property>
  <property fmtid="{D5CDD505-2E9C-101B-9397-08002B2CF9AE}" pid="12" name="Objective-Path">
    <vt:lpwstr>Objective Global Folder:Business File Plan:WG Organisational Groups:NEW - Post April 2022 - Health &amp; Social Services:HSS Director of Primary Care &amp; Mental Health:Health &amp; Social Services (HSS) - PC&amp;MH - Primary Care:1 - Save:Dental Services:Dental Contract Reform:Dental Contract Reform - Administration and Planning - 2021-2025:</vt:lpwstr>
  </property>
  <property fmtid="{D5CDD505-2E9C-101B-9397-08002B2CF9AE}" pid="13" name="Objective-Parent">
    <vt:lpwstr>Dental Contract Reform - Administration and Planning - 2021-2025</vt:lpwstr>
  </property>
  <property fmtid="{D5CDD505-2E9C-101B-9397-08002B2CF9AE}" pid="14" name="Objective-State">
    <vt:lpwstr>Being Edited</vt:lpwstr>
  </property>
  <property fmtid="{D5CDD505-2E9C-101B-9397-08002B2CF9AE}" pid="15" name="Objective-Version">
    <vt:lpwstr>13.1</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qA1450848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vA79537756</vt:lpwstr>
  </property>
  <property fmtid="{D5CDD505-2E9C-101B-9397-08002B2CF9AE}" pid="28" name="Objective-Language">
    <vt:lpwstr>English (eng)</vt:lpwstr>
  </property>
  <property fmtid="{D5CDD505-2E9C-101B-9397-08002B2CF9AE}" pid="29" name="Objective-Date Acquired">
    <vt:filetime>2022-03-02T23:00:00Z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