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CE2D" w14:textId="77777777" w:rsidR="001A39E2" w:rsidRPr="005D6B94" w:rsidRDefault="001A39E2" w:rsidP="009114D3">
      <w:pPr>
        <w:rPr>
          <w:rFonts w:ascii="Arial" w:hAnsi="Arial" w:cs="Arial"/>
          <w:b/>
          <w:sz w:val="24"/>
          <w:szCs w:val="24"/>
        </w:rPr>
      </w:pPr>
    </w:p>
    <w:p w14:paraId="65869BE4" w14:textId="77777777" w:rsidR="009C271A" w:rsidRPr="005D6B94" w:rsidRDefault="009C271A" w:rsidP="009114D3">
      <w:pPr>
        <w:rPr>
          <w:rFonts w:ascii="Arial" w:hAnsi="Arial" w:cs="Arial"/>
          <w:b/>
          <w:sz w:val="24"/>
          <w:szCs w:val="24"/>
        </w:rPr>
      </w:pPr>
    </w:p>
    <w:p w14:paraId="78176A4B" w14:textId="77777777" w:rsidR="009C271A" w:rsidRPr="005D6B94" w:rsidRDefault="009C271A" w:rsidP="009114D3">
      <w:pPr>
        <w:rPr>
          <w:rFonts w:ascii="Arial" w:hAnsi="Arial" w:cs="Arial"/>
          <w:b/>
          <w:sz w:val="24"/>
          <w:szCs w:val="24"/>
        </w:rPr>
      </w:pPr>
    </w:p>
    <w:p w14:paraId="3555B1BD" w14:textId="74B1F2B1" w:rsidR="009C271A" w:rsidRDefault="009C271A" w:rsidP="009114D3">
      <w:pPr>
        <w:rPr>
          <w:rFonts w:ascii="Arial" w:hAnsi="Arial" w:cs="Arial"/>
          <w:b/>
          <w:sz w:val="24"/>
          <w:szCs w:val="24"/>
        </w:rPr>
      </w:pPr>
    </w:p>
    <w:p w14:paraId="69B85C1F" w14:textId="24037A91" w:rsidR="0056473B" w:rsidRDefault="0056473B" w:rsidP="009114D3">
      <w:pPr>
        <w:rPr>
          <w:rFonts w:ascii="Arial" w:hAnsi="Arial" w:cs="Arial"/>
          <w:b/>
          <w:sz w:val="24"/>
          <w:szCs w:val="24"/>
        </w:rPr>
      </w:pPr>
    </w:p>
    <w:tbl>
      <w:tblPr>
        <w:tblStyle w:val="TableGrid"/>
        <w:tblW w:w="0" w:type="auto"/>
        <w:tblBorders>
          <w:top w:val="single" w:sz="18" w:space="0" w:color="FF0000"/>
          <w:left w:val="none" w:sz="0" w:space="0" w:color="auto"/>
          <w:bottom w:val="single" w:sz="18" w:space="0" w:color="FF0000"/>
          <w:right w:val="none" w:sz="0" w:space="0" w:color="auto"/>
          <w:insideH w:val="single" w:sz="18" w:space="0" w:color="FF0000"/>
          <w:insideV w:val="single" w:sz="18" w:space="0" w:color="FF0000"/>
        </w:tblBorders>
        <w:tblLook w:val="04A0" w:firstRow="1" w:lastRow="0" w:firstColumn="1" w:lastColumn="0" w:noHBand="0" w:noVBand="1"/>
      </w:tblPr>
      <w:tblGrid>
        <w:gridCol w:w="9344"/>
      </w:tblGrid>
      <w:tr w:rsidR="0056473B" w:rsidRPr="0056473B" w14:paraId="4D100AFB" w14:textId="77777777" w:rsidTr="0056473B">
        <w:tc>
          <w:tcPr>
            <w:tcW w:w="9344" w:type="dxa"/>
          </w:tcPr>
          <w:p w14:paraId="32F0AA45" w14:textId="0B59CA28" w:rsidR="0056473B" w:rsidRPr="0056473B" w:rsidRDefault="0056473B" w:rsidP="0056473B">
            <w:pPr>
              <w:pStyle w:val="Heading1"/>
              <w:jc w:val="center"/>
              <w:rPr>
                <w:rFonts w:ascii="Times New Roman" w:hAnsi="Times New Roman"/>
                <w:color w:val="FF0000"/>
                <w:sz w:val="40"/>
                <w:szCs w:val="40"/>
              </w:rPr>
            </w:pPr>
          </w:p>
          <w:p w14:paraId="267DB13C" w14:textId="59F19B7A" w:rsidR="0056473B" w:rsidRPr="0056473B" w:rsidRDefault="0056473B" w:rsidP="0056473B">
            <w:pPr>
              <w:pStyle w:val="Heading1"/>
              <w:jc w:val="center"/>
              <w:rPr>
                <w:rFonts w:ascii="Times New Roman" w:hAnsi="Times New Roman"/>
                <w:color w:val="FF0000"/>
                <w:sz w:val="40"/>
                <w:szCs w:val="40"/>
              </w:rPr>
            </w:pPr>
            <w:r w:rsidRPr="0056473B">
              <w:rPr>
                <w:rFonts w:ascii="Times New Roman" w:hAnsi="Times New Roman"/>
                <w:color w:val="FF0000"/>
                <w:sz w:val="40"/>
                <w:szCs w:val="40"/>
              </w:rPr>
              <w:t xml:space="preserve">WRITTEN STATEMENT </w:t>
            </w:r>
          </w:p>
          <w:p w14:paraId="3F05022B" w14:textId="77777777" w:rsidR="0056473B" w:rsidRPr="0056473B" w:rsidRDefault="0056473B" w:rsidP="0056473B">
            <w:pPr>
              <w:pStyle w:val="Heading1"/>
              <w:jc w:val="center"/>
              <w:rPr>
                <w:rFonts w:ascii="Times New Roman" w:hAnsi="Times New Roman"/>
                <w:color w:val="FF0000"/>
                <w:sz w:val="40"/>
                <w:szCs w:val="40"/>
              </w:rPr>
            </w:pPr>
            <w:r w:rsidRPr="0056473B">
              <w:rPr>
                <w:rFonts w:ascii="Times New Roman" w:hAnsi="Times New Roman"/>
                <w:color w:val="FF0000"/>
                <w:sz w:val="40"/>
                <w:szCs w:val="40"/>
              </w:rPr>
              <w:t>BY</w:t>
            </w:r>
          </w:p>
          <w:p w14:paraId="3E310E61" w14:textId="77777777" w:rsidR="0056473B" w:rsidRPr="0056473B" w:rsidRDefault="0056473B" w:rsidP="0056473B">
            <w:pPr>
              <w:pStyle w:val="Heading1"/>
              <w:jc w:val="center"/>
              <w:rPr>
                <w:rFonts w:ascii="Times New Roman" w:hAnsi="Times New Roman"/>
                <w:color w:val="FF0000"/>
                <w:sz w:val="40"/>
                <w:szCs w:val="40"/>
              </w:rPr>
            </w:pPr>
            <w:r w:rsidRPr="0056473B">
              <w:rPr>
                <w:rFonts w:ascii="Times New Roman" w:hAnsi="Times New Roman"/>
                <w:color w:val="FF0000"/>
                <w:sz w:val="40"/>
                <w:szCs w:val="40"/>
              </w:rPr>
              <w:t>THE WELSH GOVERNMENT</w:t>
            </w:r>
          </w:p>
          <w:p w14:paraId="282275DB" w14:textId="77777777" w:rsidR="0056473B" w:rsidRPr="0056473B" w:rsidRDefault="0056473B" w:rsidP="009114D3">
            <w:pPr>
              <w:rPr>
                <w:rFonts w:ascii="Arial" w:hAnsi="Arial" w:cs="Arial"/>
                <w:b/>
                <w:sz w:val="40"/>
                <w:szCs w:val="40"/>
              </w:rPr>
            </w:pPr>
          </w:p>
        </w:tc>
      </w:tr>
    </w:tbl>
    <w:p w14:paraId="2C58C1EA" w14:textId="63D9A078" w:rsidR="00A845A9" w:rsidRDefault="00A845A9" w:rsidP="009114D3">
      <w:pPr>
        <w:rPr>
          <w:rFonts w:ascii="Arial" w:hAnsi="Arial" w:cs="Arial"/>
          <w:sz w:val="24"/>
          <w:szCs w:val="24"/>
        </w:rPr>
      </w:pPr>
    </w:p>
    <w:p w14:paraId="2EEE09D1" w14:textId="77777777" w:rsidR="001A1C87" w:rsidRPr="0056473B" w:rsidRDefault="001A1C87" w:rsidP="009114D3">
      <w:pPr>
        <w:rPr>
          <w:rFonts w:ascii="Arial" w:hAnsi="Arial" w:cs="Arial"/>
          <w:sz w:val="24"/>
          <w:szCs w:val="24"/>
        </w:rPr>
      </w:pPr>
    </w:p>
    <w:tbl>
      <w:tblPr>
        <w:tblW w:w="0" w:type="auto"/>
        <w:tblLayout w:type="fixed"/>
        <w:tblCellMar>
          <w:top w:w="113" w:type="dxa"/>
          <w:left w:w="85" w:type="dxa"/>
          <w:bottom w:w="113" w:type="dxa"/>
          <w:right w:w="85" w:type="dxa"/>
        </w:tblCellMar>
        <w:tblLook w:val="0000" w:firstRow="0" w:lastRow="0" w:firstColumn="0" w:lastColumn="0" w:noHBand="0" w:noVBand="0"/>
      </w:tblPr>
      <w:tblGrid>
        <w:gridCol w:w="1383"/>
        <w:gridCol w:w="7939"/>
      </w:tblGrid>
      <w:tr w:rsidR="002A566B" w:rsidRPr="0056473B" w14:paraId="7D1C59E1" w14:textId="77777777" w:rsidTr="00596FEB">
        <w:tc>
          <w:tcPr>
            <w:tcW w:w="1383" w:type="dxa"/>
            <w:tcBorders>
              <w:top w:val="nil"/>
              <w:left w:val="nil"/>
              <w:bottom w:val="nil"/>
              <w:right w:val="nil"/>
            </w:tcBorders>
          </w:tcPr>
          <w:p w14:paraId="6413EEBE" w14:textId="77777777" w:rsidR="002A566B" w:rsidRPr="0056473B" w:rsidRDefault="002A566B" w:rsidP="009114D3">
            <w:pPr>
              <w:rPr>
                <w:rFonts w:ascii="Arial" w:hAnsi="Arial" w:cs="Arial"/>
                <w:b/>
                <w:bCs/>
                <w:sz w:val="24"/>
                <w:szCs w:val="24"/>
              </w:rPr>
            </w:pPr>
            <w:r w:rsidRPr="0056473B">
              <w:rPr>
                <w:rFonts w:ascii="Arial" w:hAnsi="Arial" w:cs="Arial"/>
                <w:b/>
                <w:bCs/>
                <w:sz w:val="24"/>
                <w:szCs w:val="24"/>
              </w:rPr>
              <w:t xml:space="preserve">TITLE </w:t>
            </w:r>
          </w:p>
        </w:tc>
        <w:tc>
          <w:tcPr>
            <w:tcW w:w="7939" w:type="dxa"/>
            <w:tcBorders>
              <w:top w:val="nil"/>
              <w:left w:val="nil"/>
              <w:bottom w:val="nil"/>
              <w:right w:val="nil"/>
            </w:tcBorders>
          </w:tcPr>
          <w:p w14:paraId="6BBAECD3" w14:textId="2F04F6A8" w:rsidR="002A566B" w:rsidRPr="003C23FF" w:rsidRDefault="006D40B9" w:rsidP="00403CDF">
            <w:pPr>
              <w:pStyle w:val="Heading1"/>
              <w:rPr>
                <w:sz w:val="20"/>
              </w:rPr>
            </w:pPr>
            <w:r>
              <w:rPr>
                <w:rFonts w:eastAsia="Calibri" w:cs="Arial"/>
                <w:bCs/>
                <w:iCs/>
                <w:szCs w:val="24"/>
              </w:rPr>
              <w:t xml:space="preserve">Council Tax: </w:t>
            </w:r>
            <w:r w:rsidR="0049251F">
              <w:rPr>
                <w:rFonts w:eastAsia="Calibri" w:cs="Arial"/>
                <w:bCs/>
                <w:iCs/>
                <w:szCs w:val="24"/>
              </w:rPr>
              <w:t xml:space="preserve">Consultations on draft </w:t>
            </w:r>
            <w:r w:rsidR="004A20E2">
              <w:rPr>
                <w:rFonts w:eastAsia="Calibri" w:cs="Arial"/>
                <w:bCs/>
                <w:iCs/>
                <w:szCs w:val="24"/>
              </w:rPr>
              <w:t xml:space="preserve">Regulations to extend </w:t>
            </w:r>
            <w:r w:rsidR="00BB3790" w:rsidRPr="00661B79">
              <w:rPr>
                <w:rFonts w:eastAsia="Calibri" w:cs="Arial"/>
                <w:bCs/>
                <w:iCs/>
                <w:szCs w:val="24"/>
              </w:rPr>
              <w:t>exception</w:t>
            </w:r>
            <w:r w:rsidR="004A20E2">
              <w:rPr>
                <w:rFonts w:eastAsia="Calibri" w:cs="Arial"/>
                <w:bCs/>
                <w:iCs/>
                <w:szCs w:val="24"/>
              </w:rPr>
              <w:t>s</w:t>
            </w:r>
            <w:r w:rsidR="00BB3790">
              <w:rPr>
                <w:rFonts w:eastAsia="Calibri" w:cs="Arial"/>
                <w:bCs/>
                <w:iCs/>
                <w:szCs w:val="24"/>
              </w:rPr>
              <w:t xml:space="preserve"> to</w:t>
            </w:r>
            <w:r>
              <w:rPr>
                <w:rFonts w:eastAsia="Calibri" w:cs="Arial"/>
                <w:bCs/>
                <w:iCs/>
                <w:szCs w:val="24"/>
              </w:rPr>
              <w:t xml:space="preserve"> second home</w:t>
            </w:r>
            <w:r w:rsidR="00BB3790">
              <w:rPr>
                <w:rFonts w:eastAsia="Calibri" w:cs="Arial"/>
                <w:bCs/>
                <w:iCs/>
                <w:szCs w:val="24"/>
              </w:rPr>
              <w:t xml:space="preserve"> premium</w:t>
            </w:r>
            <w:r w:rsidR="004A20E2">
              <w:rPr>
                <w:rFonts w:eastAsia="Calibri" w:cs="Arial"/>
                <w:bCs/>
                <w:iCs/>
                <w:szCs w:val="24"/>
              </w:rPr>
              <w:t>s and on Guidance</w:t>
            </w:r>
          </w:p>
        </w:tc>
      </w:tr>
      <w:tr w:rsidR="002A566B" w:rsidRPr="0056473B" w14:paraId="46E6BAE5" w14:textId="77777777" w:rsidTr="00596FEB">
        <w:tc>
          <w:tcPr>
            <w:tcW w:w="1383" w:type="dxa"/>
            <w:tcBorders>
              <w:top w:val="nil"/>
              <w:left w:val="nil"/>
              <w:bottom w:val="nil"/>
              <w:right w:val="nil"/>
            </w:tcBorders>
          </w:tcPr>
          <w:p w14:paraId="43B0F710" w14:textId="77777777" w:rsidR="002A566B" w:rsidRPr="0056473B" w:rsidRDefault="002A566B" w:rsidP="009114D3">
            <w:pPr>
              <w:rPr>
                <w:rFonts w:ascii="Arial" w:hAnsi="Arial" w:cs="Arial"/>
                <w:b/>
                <w:bCs/>
                <w:sz w:val="24"/>
                <w:szCs w:val="24"/>
              </w:rPr>
            </w:pPr>
            <w:r w:rsidRPr="0056473B">
              <w:rPr>
                <w:rFonts w:ascii="Arial" w:hAnsi="Arial" w:cs="Arial"/>
                <w:b/>
                <w:bCs/>
                <w:sz w:val="24"/>
                <w:szCs w:val="24"/>
              </w:rPr>
              <w:t xml:space="preserve">DATE </w:t>
            </w:r>
          </w:p>
        </w:tc>
        <w:tc>
          <w:tcPr>
            <w:tcW w:w="7939" w:type="dxa"/>
            <w:tcBorders>
              <w:top w:val="nil"/>
              <w:left w:val="nil"/>
              <w:bottom w:val="nil"/>
              <w:right w:val="nil"/>
            </w:tcBorders>
          </w:tcPr>
          <w:p w14:paraId="7702F10F" w14:textId="2E4ABFD4" w:rsidR="002A566B" w:rsidRPr="0056473B" w:rsidRDefault="00C16D6B" w:rsidP="00BC3AD3">
            <w:pPr>
              <w:rPr>
                <w:rFonts w:ascii="Arial" w:hAnsi="Arial" w:cs="Arial"/>
                <w:b/>
                <w:bCs/>
                <w:sz w:val="24"/>
                <w:szCs w:val="24"/>
              </w:rPr>
            </w:pPr>
            <w:r>
              <w:rPr>
                <w:rFonts w:ascii="Arial" w:hAnsi="Arial" w:cs="Arial"/>
                <w:b/>
                <w:bCs/>
                <w:sz w:val="24"/>
                <w:szCs w:val="24"/>
              </w:rPr>
              <w:t>11</w:t>
            </w:r>
            <w:r w:rsidR="00B350A3">
              <w:rPr>
                <w:rFonts w:ascii="Arial" w:hAnsi="Arial" w:cs="Arial"/>
                <w:b/>
                <w:bCs/>
                <w:sz w:val="24"/>
                <w:szCs w:val="24"/>
              </w:rPr>
              <w:t xml:space="preserve"> </w:t>
            </w:r>
            <w:r w:rsidR="00DE246C">
              <w:rPr>
                <w:rFonts w:ascii="Arial" w:hAnsi="Arial" w:cs="Arial"/>
                <w:b/>
                <w:bCs/>
                <w:sz w:val="24"/>
                <w:szCs w:val="24"/>
              </w:rPr>
              <w:t>November</w:t>
            </w:r>
            <w:r w:rsidR="00DD6964" w:rsidRPr="002967C9">
              <w:rPr>
                <w:rFonts w:ascii="Arial" w:hAnsi="Arial" w:cs="Arial"/>
                <w:b/>
                <w:bCs/>
                <w:sz w:val="24"/>
                <w:szCs w:val="24"/>
              </w:rPr>
              <w:t xml:space="preserve"> 2022</w:t>
            </w:r>
          </w:p>
        </w:tc>
      </w:tr>
      <w:tr w:rsidR="002A566B" w:rsidRPr="0056473B" w14:paraId="591D4696" w14:textId="77777777" w:rsidTr="00596FEB">
        <w:tc>
          <w:tcPr>
            <w:tcW w:w="1383" w:type="dxa"/>
            <w:tcBorders>
              <w:top w:val="nil"/>
              <w:left w:val="nil"/>
              <w:bottom w:val="nil"/>
              <w:right w:val="nil"/>
            </w:tcBorders>
          </w:tcPr>
          <w:p w14:paraId="1C9CB324" w14:textId="77777777" w:rsidR="002A566B" w:rsidRPr="0056473B" w:rsidRDefault="002A566B" w:rsidP="009114D3">
            <w:pPr>
              <w:rPr>
                <w:rFonts w:ascii="Arial" w:hAnsi="Arial" w:cs="Arial"/>
                <w:b/>
                <w:bCs/>
                <w:sz w:val="24"/>
                <w:szCs w:val="24"/>
              </w:rPr>
            </w:pPr>
            <w:r w:rsidRPr="0056473B">
              <w:rPr>
                <w:rFonts w:ascii="Arial" w:hAnsi="Arial" w:cs="Arial"/>
                <w:b/>
                <w:bCs/>
                <w:sz w:val="24"/>
                <w:szCs w:val="24"/>
              </w:rPr>
              <w:t xml:space="preserve">BY </w:t>
            </w:r>
          </w:p>
        </w:tc>
        <w:tc>
          <w:tcPr>
            <w:tcW w:w="7939" w:type="dxa"/>
            <w:tcBorders>
              <w:top w:val="nil"/>
              <w:left w:val="nil"/>
              <w:bottom w:val="nil"/>
              <w:right w:val="nil"/>
            </w:tcBorders>
          </w:tcPr>
          <w:p w14:paraId="42913EA6" w14:textId="32694153" w:rsidR="002A566B" w:rsidRPr="0056473B" w:rsidRDefault="00B246B1" w:rsidP="00AA4029">
            <w:pPr>
              <w:rPr>
                <w:rFonts w:ascii="Arial" w:hAnsi="Arial" w:cs="Arial"/>
                <w:b/>
                <w:bCs/>
                <w:sz w:val="24"/>
                <w:szCs w:val="24"/>
              </w:rPr>
            </w:pPr>
            <w:r w:rsidRPr="0056473B">
              <w:rPr>
                <w:rFonts w:ascii="Arial" w:hAnsi="Arial" w:cs="Arial"/>
                <w:b/>
                <w:bCs/>
                <w:sz w:val="24"/>
                <w:szCs w:val="24"/>
              </w:rPr>
              <w:t>Rebecca Evans</w:t>
            </w:r>
            <w:r w:rsidR="006A5CA4" w:rsidRPr="0056473B">
              <w:rPr>
                <w:rFonts w:ascii="Arial" w:hAnsi="Arial" w:cs="Arial"/>
                <w:b/>
                <w:bCs/>
                <w:sz w:val="24"/>
                <w:szCs w:val="24"/>
              </w:rPr>
              <w:t xml:space="preserve"> </w:t>
            </w:r>
            <w:r w:rsidR="00863A83" w:rsidRPr="0056473B">
              <w:rPr>
                <w:rFonts w:ascii="Arial" w:hAnsi="Arial" w:cs="Arial"/>
                <w:b/>
                <w:bCs/>
                <w:sz w:val="24"/>
                <w:szCs w:val="24"/>
              </w:rPr>
              <w:t>MS</w:t>
            </w:r>
            <w:r w:rsidRPr="0056473B">
              <w:rPr>
                <w:rFonts w:ascii="Arial" w:hAnsi="Arial" w:cs="Arial"/>
                <w:b/>
                <w:bCs/>
                <w:sz w:val="24"/>
                <w:szCs w:val="24"/>
              </w:rPr>
              <w:t xml:space="preserve">, Minister for </w:t>
            </w:r>
            <w:r w:rsidR="00AA4029" w:rsidRPr="0056473B">
              <w:rPr>
                <w:rFonts w:ascii="Arial" w:hAnsi="Arial" w:cs="Arial"/>
                <w:b/>
                <w:bCs/>
                <w:sz w:val="24"/>
                <w:szCs w:val="24"/>
              </w:rPr>
              <w:t xml:space="preserve">Finance and </w:t>
            </w:r>
            <w:r w:rsidR="008B2003" w:rsidRPr="0056473B">
              <w:rPr>
                <w:rFonts w:ascii="Arial" w:hAnsi="Arial" w:cs="Arial"/>
                <w:b/>
                <w:bCs/>
                <w:sz w:val="24"/>
                <w:szCs w:val="24"/>
              </w:rPr>
              <w:t xml:space="preserve">Local Government </w:t>
            </w:r>
          </w:p>
        </w:tc>
      </w:tr>
    </w:tbl>
    <w:p w14:paraId="5329D1FE" w14:textId="1C70568A" w:rsidR="002A566B" w:rsidRDefault="002A566B" w:rsidP="009114D3">
      <w:pPr>
        <w:pStyle w:val="Heading3"/>
        <w:spacing w:before="0" w:after="0"/>
        <w:rPr>
          <w:b w:val="0"/>
          <w:bCs w:val="0"/>
          <w:sz w:val="24"/>
          <w:szCs w:val="24"/>
          <w:lang w:val="en-US"/>
        </w:rPr>
      </w:pPr>
    </w:p>
    <w:p w14:paraId="0F5FA8C1" w14:textId="77777777" w:rsidR="001A1C87" w:rsidRDefault="001A1C87" w:rsidP="00BC3AD3">
      <w:pPr>
        <w:contextualSpacing/>
        <w:rPr>
          <w:rFonts w:ascii="Arial" w:hAnsi="Arial" w:cs="Arial"/>
          <w:sz w:val="24"/>
          <w:szCs w:val="24"/>
        </w:rPr>
      </w:pPr>
    </w:p>
    <w:p w14:paraId="5A862F65" w14:textId="36421466" w:rsidR="005C1A72" w:rsidRDefault="00BC3AD3" w:rsidP="00BC3AD3">
      <w:pPr>
        <w:contextualSpacing/>
        <w:rPr>
          <w:rFonts w:ascii="Arial" w:hAnsi="Arial" w:cs="Arial"/>
          <w:color w:val="1F1F1F"/>
          <w:sz w:val="24"/>
          <w:shd w:val="clear" w:color="auto" w:fill="FFFFFF"/>
        </w:rPr>
      </w:pPr>
      <w:r>
        <w:rPr>
          <w:rFonts w:ascii="Arial" w:hAnsi="Arial" w:cs="Arial"/>
          <w:sz w:val="24"/>
          <w:szCs w:val="24"/>
        </w:rPr>
        <w:t>On 2</w:t>
      </w:r>
      <w:r w:rsidR="00BB21AB">
        <w:rPr>
          <w:rFonts w:ascii="Arial" w:hAnsi="Arial" w:cs="Arial"/>
          <w:sz w:val="24"/>
          <w:szCs w:val="24"/>
        </w:rPr>
        <w:t>4</w:t>
      </w:r>
      <w:r>
        <w:rPr>
          <w:rFonts w:ascii="Arial" w:hAnsi="Arial" w:cs="Arial"/>
          <w:sz w:val="24"/>
          <w:szCs w:val="24"/>
        </w:rPr>
        <w:t xml:space="preserve"> Ma</w:t>
      </w:r>
      <w:r w:rsidR="008A506B">
        <w:rPr>
          <w:rFonts w:ascii="Arial" w:hAnsi="Arial" w:cs="Arial"/>
          <w:sz w:val="24"/>
          <w:szCs w:val="24"/>
        </w:rPr>
        <w:t>y</w:t>
      </w:r>
      <w:r>
        <w:rPr>
          <w:rFonts w:ascii="Arial" w:hAnsi="Arial" w:cs="Arial"/>
          <w:sz w:val="24"/>
          <w:szCs w:val="24"/>
        </w:rPr>
        <w:t xml:space="preserve"> 2022, I </w:t>
      </w:r>
      <w:hyperlink r:id="rId12" w:history="1">
        <w:r w:rsidRPr="006D40B9">
          <w:rPr>
            <w:rStyle w:val="Hyperlink"/>
            <w:rFonts w:ascii="Arial" w:hAnsi="Arial" w:cs="Arial"/>
            <w:sz w:val="24"/>
            <w:szCs w:val="24"/>
          </w:rPr>
          <w:t>announced</w:t>
        </w:r>
      </w:hyperlink>
      <w:r>
        <w:rPr>
          <w:rFonts w:ascii="Arial" w:hAnsi="Arial" w:cs="Arial"/>
          <w:sz w:val="24"/>
          <w:szCs w:val="24"/>
        </w:rPr>
        <w:t xml:space="preserve"> the next steps being taken by the Welsh Government, following</w:t>
      </w:r>
      <w:r w:rsidR="005C1A72" w:rsidRPr="00BC3AD3">
        <w:rPr>
          <w:rFonts w:ascii="Arial" w:hAnsi="Arial" w:cs="Arial"/>
          <w:color w:val="000000"/>
          <w:sz w:val="24"/>
        </w:rPr>
        <w:t xml:space="preserve"> </w:t>
      </w:r>
      <w:r>
        <w:rPr>
          <w:rFonts w:ascii="Arial" w:hAnsi="Arial" w:cs="Arial"/>
          <w:color w:val="000000"/>
          <w:sz w:val="24"/>
        </w:rPr>
        <w:t>our</w:t>
      </w:r>
      <w:r w:rsidR="005C1A72" w:rsidRPr="00BC3AD3">
        <w:rPr>
          <w:rFonts w:ascii="Arial" w:hAnsi="Arial" w:cs="Arial"/>
          <w:color w:val="000000"/>
          <w:sz w:val="24"/>
        </w:rPr>
        <w:t xml:space="preserve"> </w:t>
      </w:r>
      <w:hyperlink r:id="rId13" w:history="1">
        <w:r w:rsidR="005C1A72" w:rsidRPr="00BC3AD3">
          <w:rPr>
            <w:rStyle w:val="Hyperlink"/>
            <w:rFonts w:ascii="Arial" w:hAnsi="Arial" w:cs="Arial"/>
            <w:sz w:val="24"/>
          </w:rPr>
          <w:t>consultation</w:t>
        </w:r>
      </w:hyperlink>
      <w:r w:rsidR="00916B97" w:rsidRPr="00BC3AD3">
        <w:rPr>
          <w:rFonts w:ascii="Arial" w:hAnsi="Arial" w:cs="Arial"/>
          <w:color w:val="000000"/>
          <w:sz w:val="24"/>
        </w:rPr>
        <w:t xml:space="preserve"> on</w:t>
      </w:r>
      <w:r w:rsidR="005C1A72" w:rsidRPr="00BC3AD3">
        <w:rPr>
          <w:rFonts w:ascii="Arial" w:hAnsi="Arial" w:cs="Arial"/>
          <w:color w:val="000000"/>
          <w:sz w:val="24"/>
        </w:rPr>
        <w:t xml:space="preserve"> </w:t>
      </w:r>
      <w:r w:rsidRPr="00BC3AD3">
        <w:rPr>
          <w:rFonts w:ascii="Arial" w:hAnsi="Arial" w:cs="Arial"/>
          <w:color w:val="000000"/>
          <w:sz w:val="24"/>
        </w:rPr>
        <w:t>l</w:t>
      </w:r>
      <w:r w:rsidR="005C1A72" w:rsidRPr="00BC3AD3">
        <w:rPr>
          <w:rFonts w:ascii="Arial" w:hAnsi="Arial" w:cs="Arial"/>
          <w:sz w:val="24"/>
        </w:rPr>
        <w:t>ocal taxes for second homes and self</w:t>
      </w:r>
      <w:r w:rsidR="005C1A72" w:rsidRPr="00BC3AD3">
        <w:rPr>
          <w:rFonts w:ascii="Arial" w:hAnsi="Arial" w:cs="Arial"/>
          <w:sz w:val="24"/>
        </w:rPr>
        <w:noBreakHyphen/>
        <w:t>catering accommodation</w:t>
      </w:r>
      <w:r>
        <w:rPr>
          <w:rFonts w:ascii="Arial" w:hAnsi="Arial" w:cs="Arial"/>
          <w:color w:val="000000"/>
          <w:sz w:val="24"/>
        </w:rPr>
        <w:t xml:space="preserve">. </w:t>
      </w:r>
      <w:r w:rsidR="004B35B1">
        <w:rPr>
          <w:rFonts w:ascii="Arial" w:hAnsi="Arial" w:cs="Arial"/>
          <w:color w:val="000000"/>
          <w:sz w:val="24"/>
        </w:rPr>
        <w:t>The</w:t>
      </w:r>
      <w:r w:rsidR="00001824">
        <w:rPr>
          <w:rFonts w:ascii="Arial" w:hAnsi="Arial" w:cs="Arial"/>
          <w:color w:val="000000"/>
          <w:sz w:val="24"/>
        </w:rPr>
        <w:t>se</w:t>
      </w:r>
      <w:r w:rsidR="004B35B1">
        <w:rPr>
          <w:rFonts w:ascii="Arial" w:hAnsi="Arial" w:cs="Arial"/>
          <w:color w:val="000000"/>
          <w:sz w:val="24"/>
        </w:rPr>
        <w:t xml:space="preserve"> steps form part of our plans to ensure property owners make a fair contribution to the communities where they have homes or run businesses. This</w:t>
      </w:r>
      <w:r w:rsidR="00F64B03">
        <w:rPr>
          <w:rFonts w:ascii="Arial" w:hAnsi="Arial" w:cs="Arial"/>
          <w:color w:val="000000"/>
          <w:sz w:val="24"/>
        </w:rPr>
        <w:t xml:space="preserve"> work</w:t>
      </w:r>
      <w:r w:rsidR="004B35B1">
        <w:rPr>
          <w:rFonts w:ascii="Arial" w:hAnsi="Arial" w:cs="Arial"/>
          <w:color w:val="000000"/>
          <w:sz w:val="24"/>
        </w:rPr>
        <w:t xml:space="preserve">, in turn, </w:t>
      </w:r>
      <w:r w:rsidR="00B350A3">
        <w:rPr>
          <w:rFonts w:ascii="Arial" w:hAnsi="Arial" w:cs="Arial"/>
          <w:color w:val="000000"/>
          <w:sz w:val="24"/>
        </w:rPr>
        <w:t>contributes to</w:t>
      </w:r>
      <w:r w:rsidR="005C1A72" w:rsidRPr="00BC3AD3">
        <w:rPr>
          <w:rFonts w:ascii="Arial" w:hAnsi="Arial" w:cs="Arial"/>
          <w:color w:val="1F1F1F"/>
          <w:sz w:val="24"/>
          <w:shd w:val="clear" w:color="auto" w:fill="FFFFFF"/>
        </w:rPr>
        <w:t xml:space="preserve"> the Welsh Government’s </w:t>
      </w:r>
      <w:hyperlink r:id="rId14" w:history="1">
        <w:r w:rsidR="005C1A72" w:rsidRPr="00BC3AD3">
          <w:rPr>
            <w:rStyle w:val="Hyperlink"/>
            <w:rFonts w:ascii="Arial" w:hAnsi="Arial" w:cs="Arial"/>
            <w:bCs/>
            <w:sz w:val="24"/>
            <w:shd w:val="clear" w:color="auto" w:fill="FFFFFF"/>
          </w:rPr>
          <w:t>three-pronged approach</w:t>
        </w:r>
      </w:hyperlink>
      <w:r w:rsidR="00981A40">
        <w:rPr>
          <w:rFonts w:ascii="Arial" w:hAnsi="Arial" w:cs="Arial"/>
          <w:color w:val="1F1F1F"/>
          <w:sz w:val="24"/>
          <w:shd w:val="clear" w:color="auto" w:fill="FFFFFF"/>
        </w:rPr>
        <w:t xml:space="preserve"> to addressing </w:t>
      </w:r>
      <w:r w:rsidR="005C1A72" w:rsidRPr="00BC3AD3">
        <w:rPr>
          <w:rFonts w:ascii="Arial" w:hAnsi="Arial" w:cs="Arial"/>
          <w:color w:val="1F1F1F"/>
          <w:sz w:val="24"/>
          <w:shd w:val="clear" w:color="auto" w:fill="FFFFFF"/>
        </w:rPr>
        <w:t xml:space="preserve">the impact </w:t>
      </w:r>
      <w:r w:rsidR="00981A40">
        <w:rPr>
          <w:rFonts w:ascii="Arial" w:hAnsi="Arial" w:cs="Arial"/>
          <w:color w:val="1F1F1F"/>
          <w:sz w:val="24"/>
          <w:shd w:val="clear" w:color="auto" w:fill="FFFFFF"/>
        </w:rPr>
        <w:t xml:space="preserve">that </w:t>
      </w:r>
      <w:r w:rsidR="001829A2" w:rsidRPr="00BC3AD3">
        <w:rPr>
          <w:rFonts w:ascii="Arial" w:hAnsi="Arial" w:cs="Arial"/>
          <w:color w:val="1F1F1F"/>
          <w:sz w:val="24"/>
          <w:shd w:val="clear" w:color="auto" w:fill="FFFFFF"/>
        </w:rPr>
        <w:t xml:space="preserve">large numbers </w:t>
      </w:r>
      <w:r w:rsidR="005C1A72" w:rsidRPr="00BC3AD3">
        <w:rPr>
          <w:rFonts w:ascii="Arial" w:hAnsi="Arial" w:cs="Arial"/>
          <w:color w:val="1F1F1F"/>
          <w:sz w:val="24"/>
          <w:shd w:val="clear" w:color="auto" w:fill="FFFFFF"/>
        </w:rPr>
        <w:t xml:space="preserve">of second homes and holiday lets </w:t>
      </w:r>
      <w:r w:rsidR="001829A2" w:rsidRPr="00BC3AD3">
        <w:rPr>
          <w:rFonts w:ascii="Arial" w:hAnsi="Arial" w:cs="Arial"/>
          <w:color w:val="1F1F1F"/>
          <w:sz w:val="24"/>
          <w:shd w:val="clear" w:color="auto" w:fill="FFFFFF"/>
        </w:rPr>
        <w:t xml:space="preserve">can have </w:t>
      </w:r>
      <w:r w:rsidR="005C1A72" w:rsidRPr="00BC3AD3">
        <w:rPr>
          <w:rFonts w:ascii="Arial" w:hAnsi="Arial" w:cs="Arial"/>
          <w:color w:val="1F1F1F"/>
          <w:sz w:val="24"/>
          <w:shd w:val="clear" w:color="auto" w:fill="FFFFFF"/>
        </w:rPr>
        <w:t xml:space="preserve">on communities and the Welsh language. </w:t>
      </w:r>
    </w:p>
    <w:p w14:paraId="664824BE" w14:textId="77777777" w:rsidR="00BB3790" w:rsidRPr="00BC3AD3" w:rsidRDefault="00BB3790" w:rsidP="00BC3AD3">
      <w:pPr>
        <w:contextualSpacing/>
        <w:rPr>
          <w:rFonts w:ascii="Arial" w:hAnsi="Arial" w:cs="Arial"/>
          <w:color w:val="1F1F1F"/>
          <w:sz w:val="24"/>
        </w:rPr>
      </w:pPr>
    </w:p>
    <w:p w14:paraId="6F8B5D9E" w14:textId="2E701427" w:rsidR="001545EB" w:rsidRDefault="00981A40" w:rsidP="00981A40">
      <w:pPr>
        <w:contextualSpacing/>
        <w:rPr>
          <w:rFonts w:ascii="Arial" w:hAnsi="Arial" w:cs="Arial"/>
          <w:color w:val="000000"/>
          <w:sz w:val="24"/>
          <w:szCs w:val="24"/>
        </w:rPr>
      </w:pPr>
      <w:r w:rsidRPr="0008568B">
        <w:rPr>
          <w:rFonts w:ascii="Arial" w:hAnsi="Arial" w:cs="Arial"/>
          <w:iCs/>
          <w:sz w:val="24"/>
          <w:szCs w:val="24"/>
        </w:rPr>
        <w:t xml:space="preserve">Following our consultation, the Welsh Government is of the view that properties let out as self-catering accommodation on an infrequent basis should be liable for council tax. </w:t>
      </w:r>
      <w:r w:rsidR="001A1C87">
        <w:rPr>
          <w:rFonts w:ascii="Arial" w:hAnsi="Arial" w:cs="Arial"/>
          <w:iCs/>
          <w:sz w:val="24"/>
          <w:szCs w:val="24"/>
        </w:rPr>
        <w:t>We have therefore legislated to increase the number of days for which self-catering  properties must be available to let or actually let</w:t>
      </w:r>
      <w:r w:rsidR="00C373F9">
        <w:rPr>
          <w:rFonts w:ascii="Arial" w:hAnsi="Arial" w:cs="Arial"/>
          <w:iCs/>
          <w:sz w:val="24"/>
          <w:szCs w:val="24"/>
        </w:rPr>
        <w:t xml:space="preserve"> in order</w:t>
      </w:r>
      <w:r w:rsidR="001A1C87">
        <w:rPr>
          <w:rFonts w:ascii="Arial" w:hAnsi="Arial" w:cs="Arial"/>
          <w:iCs/>
          <w:sz w:val="24"/>
          <w:szCs w:val="24"/>
        </w:rPr>
        <w:t xml:space="preserve"> to be classified as non</w:t>
      </w:r>
      <w:r w:rsidR="00C373F9">
        <w:rPr>
          <w:rFonts w:ascii="Arial" w:hAnsi="Arial" w:cs="Arial"/>
          <w:iCs/>
          <w:sz w:val="24"/>
          <w:szCs w:val="24"/>
        </w:rPr>
        <w:noBreakHyphen/>
      </w:r>
      <w:r w:rsidR="001A1C87">
        <w:rPr>
          <w:rFonts w:ascii="Arial" w:hAnsi="Arial" w:cs="Arial"/>
          <w:iCs/>
          <w:sz w:val="24"/>
          <w:szCs w:val="24"/>
        </w:rPr>
        <w:t xml:space="preserve">domestic. The new </w:t>
      </w:r>
      <w:r>
        <w:rPr>
          <w:rFonts w:ascii="Arial" w:hAnsi="Arial" w:cs="Arial"/>
          <w:iCs/>
          <w:sz w:val="24"/>
          <w:szCs w:val="24"/>
        </w:rPr>
        <w:t>letting criteria</w:t>
      </w:r>
      <w:r w:rsidRPr="0008568B">
        <w:rPr>
          <w:rFonts w:ascii="Arial" w:hAnsi="Arial" w:cs="Arial"/>
          <w:iCs/>
          <w:sz w:val="24"/>
          <w:szCs w:val="24"/>
        </w:rPr>
        <w:t xml:space="preserve"> </w:t>
      </w:r>
      <w:r w:rsidR="001A1C87">
        <w:rPr>
          <w:rFonts w:ascii="Arial" w:hAnsi="Arial" w:cs="Arial"/>
          <w:iCs/>
          <w:sz w:val="24"/>
          <w:szCs w:val="24"/>
        </w:rPr>
        <w:t xml:space="preserve">will apply from 1 April 2023 </w:t>
      </w:r>
      <w:bookmarkStart w:id="0" w:name="_Hlk115961763"/>
      <w:r w:rsidR="001A1C87">
        <w:rPr>
          <w:rFonts w:ascii="Arial" w:hAnsi="Arial" w:cs="Arial"/>
          <w:iCs/>
          <w:sz w:val="24"/>
          <w:szCs w:val="24"/>
        </w:rPr>
        <w:t xml:space="preserve">and </w:t>
      </w:r>
      <w:r w:rsidRPr="0008568B">
        <w:rPr>
          <w:rFonts w:ascii="Arial" w:hAnsi="Arial" w:cs="Arial"/>
          <w:iCs/>
          <w:sz w:val="24"/>
          <w:szCs w:val="24"/>
        </w:rPr>
        <w:t>will ensure that self-catering properties are classed as non</w:t>
      </w:r>
      <w:r w:rsidR="00BB3790">
        <w:rPr>
          <w:rFonts w:ascii="Arial" w:hAnsi="Arial" w:cs="Arial"/>
          <w:iCs/>
          <w:sz w:val="24"/>
          <w:szCs w:val="24"/>
        </w:rPr>
        <w:noBreakHyphen/>
      </w:r>
      <w:r w:rsidRPr="0008568B">
        <w:rPr>
          <w:rFonts w:ascii="Arial" w:hAnsi="Arial" w:cs="Arial"/>
          <w:iCs/>
          <w:sz w:val="24"/>
          <w:szCs w:val="24"/>
        </w:rPr>
        <w:t>domestic only if they are being used for business purposes for the majority of the year</w:t>
      </w:r>
      <w:bookmarkEnd w:id="0"/>
      <w:r w:rsidRPr="0008568B">
        <w:rPr>
          <w:rFonts w:ascii="Arial" w:hAnsi="Arial" w:cs="Arial"/>
          <w:iCs/>
          <w:sz w:val="24"/>
          <w:szCs w:val="24"/>
        </w:rPr>
        <w:t>.</w:t>
      </w:r>
      <w:r w:rsidR="00BC25B6">
        <w:rPr>
          <w:rFonts w:ascii="Arial" w:hAnsi="Arial" w:cs="Arial"/>
          <w:iCs/>
          <w:sz w:val="24"/>
          <w:szCs w:val="24"/>
        </w:rPr>
        <w:t xml:space="preserve">  We have also legislated to increase the maximum level at which local authorities can decide to apply council tax </w:t>
      </w:r>
      <w:r w:rsidR="00766D35">
        <w:rPr>
          <w:rFonts w:ascii="Arial" w:hAnsi="Arial" w:cs="Arial"/>
          <w:iCs/>
          <w:sz w:val="24"/>
          <w:szCs w:val="24"/>
        </w:rPr>
        <w:t>premiums to second homes and long-term empty dwellings to 300% from 1 April 2023.</w:t>
      </w:r>
    </w:p>
    <w:p w14:paraId="3F452070" w14:textId="77777777" w:rsidR="001545EB" w:rsidRDefault="001545EB" w:rsidP="00C533B6">
      <w:pPr>
        <w:contextualSpacing/>
        <w:rPr>
          <w:rFonts w:ascii="Arial" w:hAnsi="Arial" w:cs="Arial"/>
          <w:color w:val="000000"/>
          <w:sz w:val="24"/>
          <w:szCs w:val="24"/>
        </w:rPr>
      </w:pPr>
    </w:p>
    <w:p w14:paraId="7289E0E7" w14:textId="4B8D39F6" w:rsidR="00BB21AB" w:rsidRDefault="000F3DDA" w:rsidP="000F3DDA">
      <w:pPr>
        <w:contextualSpacing/>
        <w:rPr>
          <w:rFonts w:ascii="Arial" w:hAnsi="Arial" w:cs="Arial"/>
          <w:color w:val="000000"/>
          <w:sz w:val="24"/>
          <w:szCs w:val="24"/>
        </w:rPr>
      </w:pPr>
      <w:r w:rsidRPr="00C75D50">
        <w:rPr>
          <w:rFonts w:ascii="Arial" w:hAnsi="Arial" w:cs="Arial"/>
          <w:color w:val="000000"/>
          <w:sz w:val="24"/>
          <w:szCs w:val="24"/>
        </w:rPr>
        <w:t xml:space="preserve">I recognise the strength of feeling among self-catering operators </w:t>
      </w:r>
      <w:r w:rsidR="001A1C87">
        <w:rPr>
          <w:rFonts w:ascii="Arial" w:hAnsi="Arial" w:cs="Arial"/>
          <w:color w:val="000000"/>
          <w:sz w:val="24"/>
          <w:szCs w:val="24"/>
        </w:rPr>
        <w:t xml:space="preserve">in response to the changes </w:t>
      </w:r>
      <w:r w:rsidRPr="00C75D50">
        <w:rPr>
          <w:rFonts w:ascii="Arial" w:hAnsi="Arial" w:cs="Arial"/>
          <w:color w:val="000000"/>
          <w:sz w:val="24"/>
          <w:szCs w:val="24"/>
        </w:rPr>
        <w:t>and have listened to the representations from individual businesses and industry representative bodies.</w:t>
      </w:r>
      <w:r>
        <w:rPr>
          <w:rFonts w:ascii="Arial" w:hAnsi="Arial" w:cs="Arial"/>
          <w:color w:val="000000"/>
          <w:sz w:val="24"/>
          <w:szCs w:val="24"/>
        </w:rPr>
        <w:t xml:space="preserve"> </w:t>
      </w:r>
      <w:bookmarkStart w:id="1" w:name="_Hlk103167530"/>
      <w:bookmarkStart w:id="2" w:name="_Hlk103081115"/>
      <w:r w:rsidR="007E1BFF">
        <w:rPr>
          <w:rFonts w:ascii="Arial" w:hAnsi="Arial" w:cs="Arial"/>
          <w:color w:val="000000"/>
          <w:sz w:val="24"/>
          <w:szCs w:val="24"/>
        </w:rPr>
        <w:t>We have considered whether further measures are needed to accompany the changes to the local taxes.</w:t>
      </w:r>
    </w:p>
    <w:p w14:paraId="63E8EECD" w14:textId="77777777" w:rsidR="00BB21AB" w:rsidRDefault="00BB21AB" w:rsidP="000F3DDA">
      <w:pPr>
        <w:contextualSpacing/>
        <w:rPr>
          <w:rFonts w:ascii="Arial" w:hAnsi="Arial" w:cs="Arial"/>
          <w:color w:val="000000"/>
          <w:sz w:val="24"/>
          <w:szCs w:val="24"/>
        </w:rPr>
      </w:pPr>
    </w:p>
    <w:p w14:paraId="78FA4249" w14:textId="77777777" w:rsidR="007E1BFF" w:rsidRDefault="007E1BFF">
      <w:pPr>
        <w:rPr>
          <w:rFonts w:ascii="Arial" w:hAnsi="Arial" w:cs="Arial"/>
          <w:color w:val="000000"/>
          <w:sz w:val="24"/>
          <w:szCs w:val="24"/>
        </w:rPr>
      </w:pPr>
      <w:r>
        <w:rPr>
          <w:rFonts w:ascii="Arial" w:hAnsi="Arial" w:cs="Arial"/>
          <w:color w:val="000000"/>
          <w:sz w:val="24"/>
          <w:szCs w:val="24"/>
        </w:rPr>
        <w:br w:type="page"/>
      </w:r>
    </w:p>
    <w:p w14:paraId="0E9453A9" w14:textId="0B1E598A" w:rsidR="00F86E7C" w:rsidRDefault="000B529B" w:rsidP="000F3DDA">
      <w:pPr>
        <w:contextualSpacing/>
        <w:rPr>
          <w:rFonts w:ascii="Arial" w:hAnsi="Arial" w:cs="Arial"/>
          <w:color w:val="000000"/>
          <w:sz w:val="24"/>
          <w:szCs w:val="24"/>
        </w:rPr>
      </w:pPr>
      <w:r>
        <w:rPr>
          <w:rFonts w:ascii="Arial" w:hAnsi="Arial" w:cs="Arial"/>
          <w:color w:val="000000"/>
          <w:sz w:val="24"/>
          <w:szCs w:val="24"/>
        </w:rPr>
        <w:lastRenderedPageBreak/>
        <w:t xml:space="preserve">The Welsh Government recognises that some self-catering properties </w:t>
      </w:r>
      <w:r w:rsidRPr="000B529B">
        <w:rPr>
          <w:rFonts w:ascii="Arial" w:hAnsi="Arial" w:cs="Arial"/>
          <w:color w:val="000000"/>
          <w:sz w:val="24"/>
          <w:szCs w:val="24"/>
        </w:rPr>
        <w:t xml:space="preserve">are restricted by planning conditions preventing permanent occupation as </w:t>
      </w:r>
      <w:r w:rsidR="001C441A">
        <w:rPr>
          <w:rFonts w:ascii="Arial" w:hAnsi="Arial" w:cs="Arial"/>
          <w:color w:val="000000"/>
          <w:sz w:val="24"/>
          <w:szCs w:val="24"/>
        </w:rPr>
        <w:t>someone’s</w:t>
      </w:r>
      <w:r w:rsidRPr="000B529B">
        <w:rPr>
          <w:rFonts w:ascii="Arial" w:hAnsi="Arial" w:cs="Arial"/>
          <w:color w:val="000000"/>
          <w:sz w:val="24"/>
          <w:szCs w:val="24"/>
        </w:rPr>
        <w:t xml:space="preserve"> main residence.</w:t>
      </w:r>
      <w:r w:rsidR="00A4260B">
        <w:rPr>
          <w:rFonts w:ascii="Arial" w:hAnsi="Arial" w:cs="Arial"/>
          <w:color w:val="000000"/>
          <w:sz w:val="24"/>
          <w:szCs w:val="24"/>
        </w:rPr>
        <w:t xml:space="preserve"> </w:t>
      </w:r>
      <w:r w:rsidR="00321838">
        <w:rPr>
          <w:rFonts w:ascii="Arial" w:hAnsi="Arial" w:cs="Arial"/>
          <w:color w:val="000000"/>
          <w:sz w:val="24"/>
          <w:szCs w:val="24"/>
        </w:rPr>
        <w:t>T</w:t>
      </w:r>
      <w:r w:rsidR="00A4260B">
        <w:rPr>
          <w:rFonts w:ascii="Arial" w:hAnsi="Arial" w:cs="Arial"/>
          <w:color w:val="000000"/>
          <w:sz w:val="24"/>
          <w:szCs w:val="24"/>
        </w:rPr>
        <w:t xml:space="preserve">he </w:t>
      </w:r>
      <w:r w:rsidR="00A4260B" w:rsidRPr="00A4260B">
        <w:rPr>
          <w:rFonts w:ascii="Arial" w:hAnsi="Arial" w:cs="Arial"/>
          <w:color w:val="000000"/>
          <w:sz w:val="24"/>
          <w:szCs w:val="24"/>
        </w:rPr>
        <w:t>Council Tax (Exceptions to Higher Amounts) (Wales) Regulations 2015</w:t>
      </w:r>
      <w:r w:rsidR="00C925C0">
        <w:rPr>
          <w:rFonts w:ascii="Arial" w:hAnsi="Arial" w:cs="Arial"/>
          <w:color w:val="000000"/>
          <w:sz w:val="24"/>
          <w:szCs w:val="24"/>
        </w:rPr>
        <w:t xml:space="preserve"> were </w:t>
      </w:r>
      <w:r w:rsidR="00B350A3">
        <w:rPr>
          <w:rFonts w:ascii="Arial" w:hAnsi="Arial" w:cs="Arial"/>
          <w:color w:val="000000"/>
          <w:sz w:val="24"/>
          <w:szCs w:val="24"/>
        </w:rPr>
        <w:t xml:space="preserve">made to accompany the introduction of </w:t>
      </w:r>
      <w:r w:rsidR="00C925C0">
        <w:rPr>
          <w:rFonts w:ascii="Arial" w:hAnsi="Arial" w:cs="Arial"/>
          <w:color w:val="000000"/>
          <w:sz w:val="24"/>
          <w:szCs w:val="24"/>
        </w:rPr>
        <w:t xml:space="preserve">the discretionary </w:t>
      </w:r>
      <w:r w:rsidR="00B350A3">
        <w:rPr>
          <w:rFonts w:ascii="Arial" w:hAnsi="Arial" w:cs="Arial"/>
          <w:color w:val="000000"/>
          <w:sz w:val="24"/>
          <w:szCs w:val="24"/>
        </w:rPr>
        <w:t xml:space="preserve">powers </w:t>
      </w:r>
      <w:r w:rsidR="00C925C0">
        <w:rPr>
          <w:rFonts w:ascii="Arial" w:hAnsi="Arial" w:cs="Arial"/>
          <w:color w:val="000000"/>
          <w:sz w:val="24"/>
          <w:szCs w:val="24"/>
        </w:rPr>
        <w:t xml:space="preserve">for local authorities </w:t>
      </w:r>
      <w:r w:rsidR="00B350A3">
        <w:rPr>
          <w:rFonts w:ascii="Arial" w:hAnsi="Arial" w:cs="Arial"/>
          <w:color w:val="000000"/>
          <w:sz w:val="24"/>
          <w:szCs w:val="24"/>
        </w:rPr>
        <w:t>to apply council tax premiums</w:t>
      </w:r>
      <w:r w:rsidR="00C925C0">
        <w:rPr>
          <w:rFonts w:ascii="Arial" w:hAnsi="Arial" w:cs="Arial"/>
          <w:color w:val="000000"/>
          <w:sz w:val="24"/>
          <w:szCs w:val="24"/>
        </w:rPr>
        <w:t xml:space="preserve"> and prevent specified types of second homes and long-term empty dwellings from being charged a premium.  These regulations </w:t>
      </w:r>
      <w:r w:rsidR="00B350A3">
        <w:rPr>
          <w:rFonts w:ascii="Arial" w:hAnsi="Arial" w:cs="Arial"/>
          <w:color w:val="000000"/>
          <w:sz w:val="24"/>
          <w:szCs w:val="24"/>
        </w:rPr>
        <w:t xml:space="preserve">already </w:t>
      </w:r>
      <w:r w:rsidR="00A4260B" w:rsidRPr="00A4260B">
        <w:rPr>
          <w:rFonts w:ascii="Arial" w:hAnsi="Arial" w:cs="Arial"/>
          <w:color w:val="000000"/>
          <w:sz w:val="24"/>
          <w:szCs w:val="24"/>
        </w:rPr>
        <w:t xml:space="preserve">provide for an exception from a council tax premium for </w:t>
      </w:r>
      <w:bookmarkEnd w:id="1"/>
      <w:r w:rsidR="00A4260B">
        <w:rPr>
          <w:rFonts w:ascii="Arial" w:hAnsi="Arial" w:cs="Arial"/>
          <w:color w:val="000000"/>
          <w:sz w:val="24"/>
          <w:szCs w:val="24"/>
        </w:rPr>
        <w:t>properties</w:t>
      </w:r>
      <w:r w:rsidR="00A4260B" w:rsidRPr="00A4260B">
        <w:rPr>
          <w:rFonts w:ascii="Arial" w:hAnsi="Arial" w:cs="Arial"/>
          <w:color w:val="000000"/>
          <w:sz w:val="24"/>
          <w:szCs w:val="24"/>
        </w:rPr>
        <w:t xml:space="preserve"> restricted by a planning condition preventing occupa</w:t>
      </w:r>
      <w:r w:rsidR="00A4260B">
        <w:rPr>
          <w:rFonts w:ascii="Arial" w:hAnsi="Arial" w:cs="Arial"/>
          <w:color w:val="000000"/>
          <w:sz w:val="24"/>
          <w:szCs w:val="24"/>
        </w:rPr>
        <w:t>tion</w:t>
      </w:r>
      <w:r w:rsidR="00A4260B" w:rsidRPr="00A4260B">
        <w:rPr>
          <w:rFonts w:ascii="Arial" w:hAnsi="Arial" w:cs="Arial"/>
          <w:color w:val="000000"/>
          <w:sz w:val="24"/>
          <w:szCs w:val="24"/>
        </w:rPr>
        <w:t xml:space="preserve"> for a continuous period of at least 28 days in any one</w:t>
      </w:r>
      <w:r w:rsidR="0095249A">
        <w:rPr>
          <w:rFonts w:ascii="Arial" w:hAnsi="Arial" w:cs="Arial"/>
          <w:color w:val="000000"/>
          <w:sz w:val="24"/>
          <w:szCs w:val="24"/>
        </w:rPr>
        <w:noBreakHyphen/>
      </w:r>
      <w:r w:rsidR="00A4260B" w:rsidRPr="00A4260B">
        <w:rPr>
          <w:rFonts w:ascii="Arial" w:hAnsi="Arial" w:cs="Arial"/>
          <w:color w:val="000000"/>
          <w:sz w:val="24"/>
          <w:szCs w:val="24"/>
        </w:rPr>
        <w:t xml:space="preserve">year period. </w:t>
      </w:r>
    </w:p>
    <w:p w14:paraId="5BE07B48" w14:textId="77777777" w:rsidR="00766D35" w:rsidRDefault="00766D35" w:rsidP="00BB21AB">
      <w:pPr>
        <w:contextualSpacing/>
        <w:rPr>
          <w:rFonts w:ascii="Arial" w:hAnsi="Arial" w:cs="Arial"/>
          <w:color w:val="000000"/>
          <w:sz w:val="24"/>
          <w:szCs w:val="24"/>
        </w:rPr>
      </w:pPr>
    </w:p>
    <w:p w14:paraId="757C7F0E" w14:textId="3E64125E" w:rsidR="00BB21AB" w:rsidRDefault="00272725" w:rsidP="00BB21AB">
      <w:pPr>
        <w:contextualSpacing/>
        <w:rPr>
          <w:rFonts w:ascii="Arial" w:eastAsia="Calibri" w:hAnsi="Arial" w:cs="Arial"/>
          <w:bCs/>
          <w:iCs/>
          <w:sz w:val="24"/>
          <w:szCs w:val="24"/>
        </w:rPr>
      </w:pPr>
      <w:hyperlink r:id="rId15" w:history="1">
        <w:r w:rsidR="00F86E7C" w:rsidRPr="00272725">
          <w:rPr>
            <w:rStyle w:val="Hyperlink"/>
            <w:rFonts w:ascii="Arial" w:hAnsi="Arial" w:cs="Arial"/>
            <w:sz w:val="24"/>
            <w:szCs w:val="24"/>
          </w:rPr>
          <w:t xml:space="preserve">I am </w:t>
        </w:r>
        <w:r w:rsidR="00BB21AB" w:rsidRPr="00272725">
          <w:rPr>
            <w:rStyle w:val="Hyperlink"/>
            <w:rFonts w:ascii="Arial" w:hAnsi="Arial" w:cs="Arial"/>
            <w:sz w:val="24"/>
            <w:szCs w:val="24"/>
          </w:rPr>
          <w:t xml:space="preserve">publishing today a technical consultation to invite views on the </w:t>
        </w:r>
        <w:r w:rsidR="00BB21AB" w:rsidRPr="00272725">
          <w:rPr>
            <w:rStyle w:val="Hyperlink"/>
            <w:rFonts w:ascii="Arial" w:eastAsia="Calibri" w:hAnsi="Arial" w:cs="Arial"/>
            <w:bCs/>
            <w:iCs/>
            <w:sz w:val="24"/>
            <w:szCs w:val="24"/>
          </w:rPr>
          <w:t xml:space="preserve">draft </w:t>
        </w:r>
        <w:r w:rsidR="006D40B9" w:rsidRPr="00272725">
          <w:rPr>
            <w:rStyle w:val="Hyperlink"/>
            <w:rFonts w:ascii="Arial" w:hAnsi="Arial" w:cs="Arial"/>
            <w:sz w:val="24"/>
            <w:szCs w:val="24"/>
          </w:rPr>
          <w:t>Council Tax (Exceptions to Higher Amounts) (Wales) Regulations 20</w:t>
        </w:r>
        <w:r w:rsidR="008A506B" w:rsidRPr="00272725">
          <w:rPr>
            <w:rStyle w:val="Hyperlink"/>
            <w:rFonts w:ascii="Arial" w:hAnsi="Arial" w:cs="Arial"/>
            <w:sz w:val="24"/>
            <w:szCs w:val="24"/>
          </w:rPr>
          <w:t>2</w:t>
        </w:r>
        <w:r w:rsidR="006D40B9" w:rsidRPr="00272725">
          <w:rPr>
            <w:rStyle w:val="Hyperlink"/>
            <w:rFonts w:ascii="Arial" w:hAnsi="Arial" w:cs="Arial"/>
            <w:sz w:val="24"/>
            <w:szCs w:val="24"/>
          </w:rPr>
          <w:t>3</w:t>
        </w:r>
      </w:hyperlink>
      <w:r w:rsidR="00C925C0" w:rsidRPr="00DE246C">
        <w:rPr>
          <w:rFonts w:ascii="Arial" w:hAnsi="Arial" w:cs="Arial"/>
          <w:color w:val="000000"/>
          <w:sz w:val="24"/>
          <w:szCs w:val="24"/>
        </w:rPr>
        <w:t xml:space="preserve">.  The </w:t>
      </w:r>
      <w:r w:rsidR="007308A0" w:rsidRPr="00DE246C">
        <w:rPr>
          <w:rFonts w:ascii="Arial" w:hAnsi="Arial" w:cs="Arial"/>
          <w:color w:val="000000"/>
          <w:sz w:val="24"/>
          <w:szCs w:val="24"/>
        </w:rPr>
        <w:t xml:space="preserve">draft Regulations </w:t>
      </w:r>
      <w:r w:rsidR="00C925C0" w:rsidRPr="00DE246C">
        <w:rPr>
          <w:rFonts w:ascii="Arial" w:eastAsia="Calibri" w:hAnsi="Arial" w:cs="Arial"/>
          <w:bCs/>
          <w:iCs/>
          <w:sz w:val="24"/>
          <w:szCs w:val="24"/>
        </w:rPr>
        <w:t>extend</w:t>
      </w:r>
      <w:r w:rsidR="007308A0" w:rsidRPr="00DE246C">
        <w:rPr>
          <w:rFonts w:ascii="Arial" w:eastAsia="Calibri" w:hAnsi="Arial" w:cs="Arial"/>
          <w:bCs/>
          <w:iCs/>
          <w:sz w:val="24"/>
          <w:szCs w:val="24"/>
        </w:rPr>
        <w:t xml:space="preserve"> </w:t>
      </w:r>
      <w:r w:rsidR="00C925C0" w:rsidRPr="00DE246C">
        <w:rPr>
          <w:rFonts w:ascii="Arial" w:eastAsia="Calibri" w:hAnsi="Arial" w:cs="Arial"/>
          <w:bCs/>
          <w:iCs/>
          <w:sz w:val="24"/>
          <w:szCs w:val="24"/>
        </w:rPr>
        <w:t xml:space="preserve">the existing exception </w:t>
      </w:r>
      <w:r w:rsidR="00BB21AB" w:rsidRPr="00DE246C">
        <w:rPr>
          <w:rFonts w:ascii="Arial" w:eastAsia="Calibri" w:hAnsi="Arial" w:cs="Arial"/>
          <w:bCs/>
          <w:iCs/>
          <w:sz w:val="24"/>
          <w:szCs w:val="24"/>
        </w:rPr>
        <w:t xml:space="preserve">to apply to properties with a </w:t>
      </w:r>
      <w:r w:rsidR="00001824" w:rsidRPr="00DE246C">
        <w:rPr>
          <w:rFonts w:ascii="Arial" w:eastAsia="Calibri" w:hAnsi="Arial" w:cs="Arial"/>
          <w:bCs/>
          <w:iCs/>
          <w:sz w:val="24"/>
          <w:szCs w:val="24"/>
        </w:rPr>
        <w:t xml:space="preserve">planning condition </w:t>
      </w:r>
      <w:r w:rsidR="00F15D40" w:rsidRPr="00DE246C">
        <w:rPr>
          <w:rFonts w:ascii="Arial" w:eastAsia="Calibri" w:hAnsi="Arial" w:cs="Arial"/>
          <w:bCs/>
          <w:iCs/>
          <w:sz w:val="24"/>
          <w:szCs w:val="24"/>
        </w:rPr>
        <w:t xml:space="preserve">which </w:t>
      </w:r>
      <w:r w:rsidR="00001824" w:rsidRPr="00DE246C">
        <w:rPr>
          <w:rFonts w:ascii="Arial" w:eastAsia="Calibri" w:hAnsi="Arial" w:cs="Arial"/>
          <w:bCs/>
          <w:iCs/>
          <w:sz w:val="24"/>
          <w:szCs w:val="24"/>
        </w:rPr>
        <w:t>specif</w:t>
      </w:r>
      <w:r w:rsidR="00F15D40" w:rsidRPr="00DE246C">
        <w:rPr>
          <w:rFonts w:ascii="Arial" w:eastAsia="Calibri" w:hAnsi="Arial" w:cs="Arial"/>
          <w:bCs/>
          <w:iCs/>
          <w:sz w:val="24"/>
          <w:szCs w:val="24"/>
        </w:rPr>
        <w:t xml:space="preserve">ies </w:t>
      </w:r>
      <w:r w:rsidR="00001824" w:rsidRPr="00DE246C">
        <w:rPr>
          <w:rFonts w:ascii="Arial" w:eastAsia="Calibri" w:hAnsi="Arial" w:cs="Arial"/>
          <w:bCs/>
          <w:iCs/>
          <w:sz w:val="24"/>
          <w:szCs w:val="24"/>
        </w:rPr>
        <w:t xml:space="preserve">that the property may only be used for short term holiday lets or </w:t>
      </w:r>
      <w:r w:rsidR="00BB21AB" w:rsidRPr="00DE246C">
        <w:rPr>
          <w:rFonts w:ascii="Arial" w:eastAsia="Calibri" w:hAnsi="Arial" w:cs="Arial"/>
          <w:bCs/>
          <w:iCs/>
          <w:sz w:val="24"/>
          <w:szCs w:val="24"/>
        </w:rPr>
        <w:t xml:space="preserve">which prevents their permanent occupation as a person’s </w:t>
      </w:r>
      <w:r w:rsidR="00001824" w:rsidRPr="00DE246C">
        <w:rPr>
          <w:rFonts w:ascii="Arial" w:eastAsia="Calibri" w:hAnsi="Arial" w:cs="Arial"/>
          <w:bCs/>
          <w:iCs/>
          <w:sz w:val="24"/>
          <w:szCs w:val="24"/>
        </w:rPr>
        <w:t>sole or main</w:t>
      </w:r>
      <w:r w:rsidR="00BB21AB" w:rsidRPr="00DE246C">
        <w:rPr>
          <w:rFonts w:ascii="Arial" w:eastAsia="Calibri" w:hAnsi="Arial" w:cs="Arial"/>
          <w:bCs/>
          <w:iCs/>
          <w:sz w:val="24"/>
          <w:szCs w:val="24"/>
        </w:rPr>
        <w:t xml:space="preserve"> residence. Such properties would become liable for council tax at the standard rate if they do not meet the letting criteria for </w:t>
      </w:r>
      <w:r w:rsidR="007308A0" w:rsidRPr="00DE246C">
        <w:rPr>
          <w:rFonts w:ascii="Arial" w:eastAsia="Calibri" w:hAnsi="Arial" w:cs="Arial"/>
          <w:bCs/>
          <w:iCs/>
          <w:sz w:val="24"/>
          <w:szCs w:val="24"/>
        </w:rPr>
        <w:t xml:space="preserve">classification </w:t>
      </w:r>
      <w:r w:rsidR="00BB21AB" w:rsidRPr="00DE246C">
        <w:rPr>
          <w:rFonts w:ascii="Arial" w:eastAsia="Calibri" w:hAnsi="Arial" w:cs="Arial"/>
          <w:bCs/>
          <w:iCs/>
          <w:sz w:val="24"/>
          <w:szCs w:val="24"/>
        </w:rPr>
        <w:t xml:space="preserve">as non-domestic property but </w:t>
      </w:r>
      <w:r w:rsidR="00F15D40" w:rsidRPr="00DE246C">
        <w:rPr>
          <w:rFonts w:ascii="Arial" w:eastAsia="Calibri" w:hAnsi="Arial" w:cs="Arial"/>
          <w:bCs/>
          <w:iCs/>
          <w:sz w:val="24"/>
          <w:szCs w:val="24"/>
        </w:rPr>
        <w:t xml:space="preserve">they </w:t>
      </w:r>
      <w:r w:rsidR="00BB21AB" w:rsidRPr="00DE246C">
        <w:rPr>
          <w:rFonts w:ascii="Arial" w:eastAsia="Calibri" w:hAnsi="Arial" w:cs="Arial"/>
          <w:bCs/>
          <w:iCs/>
          <w:sz w:val="24"/>
          <w:szCs w:val="24"/>
        </w:rPr>
        <w:t xml:space="preserve">could not be charged a premium. </w:t>
      </w:r>
      <w:r w:rsidR="007308A0" w:rsidRPr="00DE246C">
        <w:rPr>
          <w:rFonts w:ascii="Arial" w:eastAsia="Calibri" w:hAnsi="Arial" w:cs="Arial"/>
          <w:bCs/>
          <w:iCs/>
          <w:sz w:val="24"/>
          <w:szCs w:val="24"/>
        </w:rPr>
        <w:t>This is consistent with our policy view that property owners should make a fair contribution to local communities either through local taxation or through the economic benefit they bring to an area.</w:t>
      </w:r>
    </w:p>
    <w:p w14:paraId="44232EBA" w14:textId="77777777" w:rsidR="00BB21AB" w:rsidRDefault="00BB21AB" w:rsidP="00BB21AB">
      <w:pPr>
        <w:ind w:left="425"/>
        <w:rPr>
          <w:rFonts w:ascii="Arial" w:eastAsia="Calibri" w:hAnsi="Arial" w:cs="Arial"/>
          <w:bCs/>
          <w:iCs/>
          <w:sz w:val="24"/>
          <w:szCs w:val="24"/>
        </w:rPr>
      </w:pPr>
    </w:p>
    <w:p w14:paraId="14C46C1E" w14:textId="6D3BCA5B" w:rsidR="00BB21AB" w:rsidRDefault="00BB21AB" w:rsidP="00BB21AB">
      <w:pPr>
        <w:rPr>
          <w:rFonts w:ascii="Arial" w:eastAsia="Calibri" w:hAnsi="Arial" w:cs="Arial"/>
          <w:bCs/>
          <w:iCs/>
          <w:sz w:val="24"/>
          <w:szCs w:val="24"/>
        </w:rPr>
      </w:pPr>
      <w:r>
        <w:rPr>
          <w:rFonts w:ascii="Arial" w:eastAsia="Calibri" w:hAnsi="Arial" w:cs="Arial"/>
          <w:bCs/>
          <w:iCs/>
          <w:sz w:val="24"/>
          <w:szCs w:val="24"/>
        </w:rPr>
        <w:t>It is inten</w:t>
      </w:r>
      <w:r w:rsidR="005B600D">
        <w:rPr>
          <w:rFonts w:ascii="Arial" w:eastAsia="Calibri" w:hAnsi="Arial" w:cs="Arial"/>
          <w:bCs/>
          <w:iCs/>
          <w:sz w:val="24"/>
          <w:szCs w:val="24"/>
        </w:rPr>
        <w:t>d</w:t>
      </w:r>
      <w:r>
        <w:rPr>
          <w:rFonts w:ascii="Arial" w:eastAsia="Calibri" w:hAnsi="Arial" w:cs="Arial"/>
          <w:bCs/>
          <w:iCs/>
          <w:sz w:val="24"/>
          <w:szCs w:val="24"/>
        </w:rPr>
        <w:t>ed t</w:t>
      </w:r>
      <w:r w:rsidRPr="00920C0E">
        <w:rPr>
          <w:rFonts w:ascii="Arial" w:eastAsia="Calibri" w:hAnsi="Arial" w:cs="Arial"/>
          <w:bCs/>
          <w:iCs/>
          <w:sz w:val="24"/>
          <w:szCs w:val="24"/>
        </w:rPr>
        <w:t xml:space="preserve">he application date for introducing the </w:t>
      </w:r>
      <w:r w:rsidR="00622DE7">
        <w:rPr>
          <w:rFonts w:ascii="Arial" w:eastAsia="Calibri" w:hAnsi="Arial" w:cs="Arial"/>
          <w:bCs/>
          <w:iCs/>
          <w:sz w:val="24"/>
          <w:szCs w:val="24"/>
        </w:rPr>
        <w:t xml:space="preserve">extended </w:t>
      </w:r>
      <w:r w:rsidRPr="00920C0E">
        <w:rPr>
          <w:rFonts w:ascii="Arial" w:eastAsia="Calibri" w:hAnsi="Arial" w:cs="Arial"/>
          <w:bCs/>
          <w:iCs/>
          <w:sz w:val="24"/>
          <w:szCs w:val="24"/>
        </w:rPr>
        <w:t>exception</w:t>
      </w:r>
      <w:r w:rsidR="00001824">
        <w:rPr>
          <w:rFonts w:ascii="Arial" w:eastAsia="Calibri" w:hAnsi="Arial" w:cs="Arial"/>
          <w:bCs/>
          <w:iCs/>
          <w:sz w:val="24"/>
          <w:szCs w:val="24"/>
        </w:rPr>
        <w:t>s</w:t>
      </w:r>
      <w:r w:rsidRPr="00920C0E">
        <w:rPr>
          <w:rFonts w:ascii="Arial" w:eastAsia="Calibri" w:hAnsi="Arial" w:cs="Arial"/>
          <w:bCs/>
          <w:iCs/>
          <w:sz w:val="24"/>
          <w:szCs w:val="24"/>
        </w:rPr>
        <w:t xml:space="preserve"> will be 1 April 2023, in conjunction with the </w:t>
      </w:r>
      <w:r w:rsidR="00325E04">
        <w:rPr>
          <w:rFonts w:ascii="Arial" w:eastAsia="Calibri" w:hAnsi="Arial" w:cs="Arial"/>
          <w:bCs/>
          <w:iCs/>
          <w:sz w:val="24"/>
          <w:szCs w:val="24"/>
        </w:rPr>
        <w:t xml:space="preserve">changes to the letting criteria and </w:t>
      </w:r>
      <w:r w:rsidR="00622DE7">
        <w:rPr>
          <w:rFonts w:ascii="Arial" w:eastAsia="Calibri" w:hAnsi="Arial" w:cs="Arial"/>
          <w:bCs/>
          <w:iCs/>
          <w:sz w:val="24"/>
          <w:szCs w:val="24"/>
        </w:rPr>
        <w:t xml:space="preserve">to </w:t>
      </w:r>
      <w:r w:rsidR="00325E04">
        <w:rPr>
          <w:rFonts w:ascii="Arial" w:eastAsia="Calibri" w:hAnsi="Arial" w:cs="Arial"/>
          <w:bCs/>
          <w:iCs/>
          <w:sz w:val="24"/>
          <w:szCs w:val="24"/>
        </w:rPr>
        <w:t>the maximum council tax premium</w:t>
      </w:r>
      <w:r w:rsidRPr="00920C0E">
        <w:rPr>
          <w:rFonts w:ascii="Arial" w:eastAsia="Calibri" w:hAnsi="Arial" w:cs="Arial"/>
          <w:bCs/>
          <w:iCs/>
          <w:sz w:val="24"/>
          <w:szCs w:val="24"/>
        </w:rPr>
        <w:t>. It will therefore apply only to properties that become liable for council tax after 1 April 2023.</w:t>
      </w:r>
    </w:p>
    <w:p w14:paraId="7E9E01FB" w14:textId="0EBEF153" w:rsidR="005B600D" w:rsidRDefault="005B600D" w:rsidP="00BB21AB">
      <w:pPr>
        <w:rPr>
          <w:rFonts w:ascii="Arial" w:eastAsia="Calibri" w:hAnsi="Arial" w:cs="Arial"/>
          <w:bCs/>
          <w:iCs/>
          <w:sz w:val="24"/>
          <w:szCs w:val="24"/>
        </w:rPr>
      </w:pPr>
    </w:p>
    <w:p w14:paraId="70D4DCC0" w14:textId="350F3378" w:rsidR="00964A56" w:rsidRDefault="00CF5043" w:rsidP="000F3DDA">
      <w:pPr>
        <w:contextualSpacing/>
        <w:rPr>
          <w:rFonts w:ascii="Arial" w:hAnsi="Arial" w:cs="Arial"/>
          <w:color w:val="000000"/>
          <w:sz w:val="24"/>
          <w:szCs w:val="24"/>
        </w:rPr>
      </w:pPr>
      <w:hyperlink r:id="rId16" w:history="1">
        <w:r w:rsidR="00D04BE1" w:rsidRPr="00CF5043">
          <w:rPr>
            <w:rStyle w:val="Hyperlink"/>
            <w:rFonts w:ascii="Arial" w:hAnsi="Arial" w:cs="Arial"/>
            <w:sz w:val="24"/>
            <w:szCs w:val="24"/>
          </w:rPr>
          <w:t>I am also publishing a consultation on the revised guidance</w:t>
        </w:r>
        <w:r w:rsidR="00693184" w:rsidRPr="00CF5043">
          <w:rPr>
            <w:rStyle w:val="Hyperlink"/>
            <w:rFonts w:ascii="Arial" w:hAnsi="Arial" w:cs="Arial"/>
            <w:sz w:val="24"/>
            <w:szCs w:val="24"/>
          </w:rPr>
          <w:t xml:space="preserve"> on</w:t>
        </w:r>
        <w:r w:rsidR="00D04BE1" w:rsidRPr="00CF5043">
          <w:rPr>
            <w:rStyle w:val="Hyperlink"/>
            <w:rFonts w:ascii="Arial" w:hAnsi="Arial" w:cs="Arial"/>
            <w:sz w:val="24"/>
            <w:szCs w:val="24"/>
          </w:rPr>
          <w:t xml:space="preserve"> council tax premiums </w:t>
        </w:r>
        <w:r w:rsidR="008A506B" w:rsidRPr="00CF5043">
          <w:rPr>
            <w:rStyle w:val="Hyperlink"/>
            <w:rFonts w:ascii="Arial" w:hAnsi="Arial" w:cs="Arial"/>
            <w:sz w:val="24"/>
            <w:szCs w:val="24"/>
          </w:rPr>
          <w:t>for</w:t>
        </w:r>
        <w:r w:rsidR="00D04BE1" w:rsidRPr="00CF5043">
          <w:rPr>
            <w:rStyle w:val="Hyperlink"/>
            <w:rFonts w:ascii="Arial" w:hAnsi="Arial" w:cs="Arial"/>
            <w:sz w:val="24"/>
            <w:szCs w:val="24"/>
          </w:rPr>
          <w:t xml:space="preserve"> long</w:t>
        </w:r>
        <w:r w:rsidR="00D04BE1" w:rsidRPr="00CF5043">
          <w:rPr>
            <w:rStyle w:val="Hyperlink"/>
            <w:rFonts w:ascii="Arial" w:hAnsi="Arial" w:cs="Arial"/>
            <w:sz w:val="24"/>
            <w:szCs w:val="24"/>
          </w:rPr>
          <w:noBreakHyphen/>
          <w:t xml:space="preserve">term empty </w:t>
        </w:r>
        <w:r w:rsidR="00D757FF" w:rsidRPr="00CF5043">
          <w:rPr>
            <w:rStyle w:val="Hyperlink"/>
            <w:rFonts w:ascii="Arial" w:hAnsi="Arial" w:cs="Arial"/>
            <w:sz w:val="24"/>
            <w:szCs w:val="24"/>
          </w:rPr>
          <w:t>dwellings</w:t>
        </w:r>
        <w:r w:rsidR="00D04BE1" w:rsidRPr="00CF5043">
          <w:rPr>
            <w:rStyle w:val="Hyperlink"/>
            <w:rFonts w:ascii="Arial" w:hAnsi="Arial" w:cs="Arial"/>
            <w:sz w:val="24"/>
            <w:szCs w:val="24"/>
          </w:rPr>
          <w:t xml:space="preserve"> and second homes</w:t>
        </w:r>
      </w:hyperlink>
      <w:r w:rsidR="00D04BE1">
        <w:rPr>
          <w:rFonts w:ascii="Arial" w:hAnsi="Arial" w:cs="Arial"/>
          <w:color w:val="000000"/>
          <w:sz w:val="24"/>
          <w:szCs w:val="24"/>
        </w:rPr>
        <w:t>.</w:t>
      </w:r>
      <w:r w:rsidR="00693184">
        <w:rPr>
          <w:rFonts w:ascii="Arial" w:hAnsi="Arial" w:cs="Arial"/>
          <w:color w:val="000000"/>
          <w:sz w:val="24"/>
          <w:szCs w:val="24"/>
        </w:rPr>
        <w:t xml:space="preserve"> This includes</w:t>
      </w:r>
      <w:r w:rsidR="00964A56">
        <w:rPr>
          <w:rFonts w:ascii="Arial" w:hAnsi="Arial" w:cs="Arial"/>
          <w:color w:val="000000"/>
          <w:sz w:val="24"/>
          <w:szCs w:val="24"/>
        </w:rPr>
        <w:t xml:space="preserve"> additional options that are available</w:t>
      </w:r>
      <w:r w:rsidR="008A506B">
        <w:rPr>
          <w:rFonts w:ascii="Arial" w:hAnsi="Arial" w:cs="Arial"/>
          <w:color w:val="000000"/>
          <w:sz w:val="24"/>
          <w:szCs w:val="24"/>
        </w:rPr>
        <w:t xml:space="preserve"> to local authorities</w:t>
      </w:r>
      <w:r w:rsidR="00964A56">
        <w:rPr>
          <w:rFonts w:ascii="Arial" w:hAnsi="Arial" w:cs="Arial"/>
          <w:color w:val="000000"/>
          <w:sz w:val="24"/>
          <w:szCs w:val="24"/>
        </w:rPr>
        <w:t xml:space="preserve"> in the event that self-catering properties restricted by planning conditions do not meet the letting criteria.</w:t>
      </w:r>
    </w:p>
    <w:p w14:paraId="14E193E6" w14:textId="24A67C9E" w:rsidR="00693184" w:rsidRDefault="00693184" w:rsidP="000F3DDA">
      <w:pPr>
        <w:contextualSpacing/>
        <w:rPr>
          <w:rFonts w:ascii="Arial" w:hAnsi="Arial" w:cs="Arial"/>
          <w:color w:val="000000"/>
          <w:sz w:val="24"/>
          <w:szCs w:val="24"/>
        </w:rPr>
      </w:pPr>
    </w:p>
    <w:p w14:paraId="2463DD99" w14:textId="2FF53655" w:rsidR="00693184" w:rsidRPr="00920C0E" w:rsidRDefault="00693184" w:rsidP="00693184">
      <w:pPr>
        <w:rPr>
          <w:rFonts w:ascii="Arial" w:eastAsia="Calibri" w:hAnsi="Arial" w:cs="Arial"/>
          <w:bCs/>
          <w:iCs/>
          <w:sz w:val="24"/>
          <w:szCs w:val="24"/>
        </w:rPr>
      </w:pPr>
      <w:r>
        <w:rPr>
          <w:rFonts w:ascii="Arial" w:eastAsia="Calibri" w:hAnsi="Arial" w:cs="Arial"/>
          <w:bCs/>
          <w:iCs/>
          <w:sz w:val="24"/>
          <w:szCs w:val="24"/>
        </w:rPr>
        <w:t xml:space="preserve">The consultation on the draft guidance will run alongside the technical consultation for a period of </w:t>
      </w:r>
      <w:r w:rsidR="00DE246C" w:rsidRPr="00DE246C">
        <w:rPr>
          <w:rFonts w:ascii="Arial" w:eastAsia="Calibri" w:hAnsi="Arial" w:cs="Arial"/>
          <w:bCs/>
          <w:iCs/>
          <w:sz w:val="24"/>
          <w:szCs w:val="24"/>
        </w:rPr>
        <w:t xml:space="preserve">6 </w:t>
      </w:r>
      <w:r w:rsidRPr="00DE246C">
        <w:rPr>
          <w:rFonts w:ascii="Arial" w:eastAsia="Calibri" w:hAnsi="Arial" w:cs="Arial"/>
          <w:bCs/>
          <w:iCs/>
          <w:sz w:val="24"/>
          <w:szCs w:val="24"/>
        </w:rPr>
        <w:t>weeks</w:t>
      </w:r>
      <w:r>
        <w:rPr>
          <w:rFonts w:ascii="Arial" w:eastAsia="Calibri" w:hAnsi="Arial" w:cs="Arial"/>
          <w:bCs/>
          <w:iCs/>
          <w:sz w:val="24"/>
          <w:szCs w:val="24"/>
        </w:rPr>
        <w:t xml:space="preserve">. </w:t>
      </w:r>
      <w:r w:rsidRPr="003C23FF">
        <w:rPr>
          <w:rFonts w:ascii="Arial" w:hAnsi="Arial" w:cs="Arial"/>
          <w:color w:val="000000"/>
          <w:sz w:val="24"/>
          <w:szCs w:val="24"/>
        </w:rPr>
        <w:t>Responses are requested by</w:t>
      </w:r>
      <w:r w:rsidR="00DE246C">
        <w:rPr>
          <w:rFonts w:ascii="Arial" w:hAnsi="Arial" w:cs="Arial"/>
          <w:color w:val="000000"/>
          <w:sz w:val="24"/>
          <w:szCs w:val="24"/>
        </w:rPr>
        <w:t xml:space="preserve"> 22 December 2022</w:t>
      </w:r>
      <w:r>
        <w:rPr>
          <w:rFonts w:ascii="Arial" w:hAnsi="Arial" w:cs="Arial"/>
          <w:color w:val="000000"/>
          <w:sz w:val="24"/>
          <w:szCs w:val="24"/>
        </w:rPr>
        <w:t>.</w:t>
      </w:r>
      <w:r w:rsidRPr="003C23FF">
        <w:rPr>
          <w:rFonts w:ascii="Arial" w:hAnsi="Arial" w:cs="Arial"/>
          <w:color w:val="000000"/>
          <w:sz w:val="24"/>
          <w:szCs w:val="24"/>
        </w:rPr>
        <w:t xml:space="preserve"> </w:t>
      </w:r>
      <w:r>
        <w:rPr>
          <w:rFonts w:ascii="Arial" w:hAnsi="Arial" w:cs="Arial"/>
          <w:color w:val="000000"/>
          <w:sz w:val="24"/>
          <w:szCs w:val="24"/>
        </w:rPr>
        <w:t>A</w:t>
      </w:r>
      <w:r w:rsidRPr="003C23FF">
        <w:rPr>
          <w:rFonts w:ascii="Arial" w:hAnsi="Arial" w:cs="Arial"/>
          <w:color w:val="000000"/>
          <w:sz w:val="24"/>
          <w:szCs w:val="24"/>
        </w:rPr>
        <w:t xml:space="preserve">ll </w:t>
      </w:r>
      <w:r w:rsidRPr="003C23FF">
        <w:rPr>
          <w:rFonts w:ascii="Arial" w:hAnsi="Arial" w:cs="Arial"/>
          <w:sz w:val="24"/>
          <w:szCs w:val="24"/>
        </w:rPr>
        <w:t xml:space="preserve">responses will be taken into account in considering </w:t>
      </w:r>
      <w:r>
        <w:rPr>
          <w:rFonts w:ascii="Arial" w:hAnsi="Arial" w:cs="Arial"/>
          <w:sz w:val="24"/>
          <w:szCs w:val="24"/>
        </w:rPr>
        <w:t xml:space="preserve">any </w:t>
      </w:r>
      <w:r w:rsidRPr="003C23FF">
        <w:rPr>
          <w:rFonts w:ascii="Arial" w:hAnsi="Arial" w:cs="Arial"/>
          <w:sz w:val="24"/>
          <w:szCs w:val="24"/>
        </w:rPr>
        <w:t>further developments.</w:t>
      </w:r>
    </w:p>
    <w:bookmarkEnd w:id="2"/>
    <w:p w14:paraId="0CD59419" w14:textId="789F3AFA" w:rsidR="004E190C" w:rsidRDefault="004E190C" w:rsidP="002E7F2C">
      <w:pPr>
        <w:contextualSpacing/>
        <w:rPr>
          <w:rFonts w:ascii="Arial" w:hAnsi="Arial" w:cs="Arial"/>
          <w:sz w:val="24"/>
          <w:szCs w:val="24"/>
        </w:rPr>
      </w:pPr>
    </w:p>
    <w:p w14:paraId="761BACDC" w14:textId="2FD7A748" w:rsidR="00032F28" w:rsidRPr="0039428C" w:rsidRDefault="00032F28" w:rsidP="00032F28">
      <w:pPr>
        <w:contextualSpacing/>
        <w:rPr>
          <w:rFonts w:ascii="Arial" w:hAnsi="Arial" w:cs="Arial"/>
          <w:color w:val="000000"/>
          <w:sz w:val="24"/>
          <w:szCs w:val="24"/>
        </w:rPr>
      </w:pPr>
      <w:r>
        <w:rPr>
          <w:rFonts w:ascii="Arial" w:hAnsi="Arial" w:cs="Arial"/>
          <w:color w:val="000000"/>
          <w:sz w:val="24"/>
          <w:szCs w:val="24"/>
        </w:rPr>
        <w:t xml:space="preserve">As part of the Cooperation Agreement with Plaid Cymru, we are committed to taking </w:t>
      </w:r>
      <w:r w:rsidRPr="00CA5296">
        <w:rPr>
          <w:rFonts w:ascii="Arial" w:hAnsi="Arial" w:cs="Arial"/>
          <w:color w:val="000000"/>
          <w:sz w:val="24"/>
          <w:szCs w:val="24"/>
        </w:rPr>
        <w:t xml:space="preserve">immediate action to address </w:t>
      </w:r>
      <w:r>
        <w:rPr>
          <w:rFonts w:ascii="Arial" w:hAnsi="Arial" w:cs="Arial"/>
          <w:color w:val="000000"/>
          <w:sz w:val="24"/>
          <w:szCs w:val="24"/>
        </w:rPr>
        <w:t xml:space="preserve">the impact of </w:t>
      </w:r>
      <w:r w:rsidRPr="00CA5296">
        <w:rPr>
          <w:rFonts w:ascii="Arial" w:hAnsi="Arial" w:cs="Arial"/>
          <w:color w:val="000000"/>
          <w:sz w:val="24"/>
          <w:szCs w:val="24"/>
        </w:rPr>
        <w:t>second</w:t>
      </w:r>
      <w:r>
        <w:rPr>
          <w:rFonts w:ascii="Arial" w:hAnsi="Arial" w:cs="Arial"/>
          <w:color w:val="000000"/>
          <w:sz w:val="24"/>
          <w:szCs w:val="24"/>
        </w:rPr>
        <w:t xml:space="preserve"> homes and unaffordable housing in communities across Wales, </w:t>
      </w:r>
      <w:r w:rsidRPr="00CA5296">
        <w:rPr>
          <w:rFonts w:ascii="Arial" w:hAnsi="Arial" w:cs="Arial"/>
          <w:color w:val="000000"/>
          <w:sz w:val="24"/>
          <w:szCs w:val="24"/>
        </w:rPr>
        <w:t>using the</w:t>
      </w:r>
      <w:r>
        <w:rPr>
          <w:rFonts w:ascii="Arial" w:hAnsi="Arial" w:cs="Arial"/>
          <w:color w:val="000000"/>
          <w:sz w:val="24"/>
          <w:szCs w:val="24"/>
        </w:rPr>
        <w:t xml:space="preserve"> </w:t>
      </w:r>
      <w:r w:rsidRPr="00CA5296">
        <w:rPr>
          <w:rFonts w:ascii="Arial" w:hAnsi="Arial" w:cs="Arial"/>
          <w:color w:val="000000"/>
          <w:sz w:val="24"/>
          <w:szCs w:val="24"/>
        </w:rPr>
        <w:t>planning, property and taxation systems.</w:t>
      </w:r>
      <w:r w:rsidR="00964A56">
        <w:rPr>
          <w:rFonts w:ascii="Arial" w:hAnsi="Arial" w:cs="Arial"/>
          <w:color w:val="000000"/>
          <w:sz w:val="24"/>
          <w:szCs w:val="24"/>
        </w:rPr>
        <w:t xml:space="preserve"> As we continue to progress the package of measures and drawing on the </w:t>
      </w:r>
      <w:r w:rsidR="008D534E">
        <w:rPr>
          <w:rFonts w:ascii="Arial" w:hAnsi="Arial" w:cs="Arial"/>
          <w:color w:val="000000"/>
          <w:sz w:val="24"/>
          <w:szCs w:val="24"/>
        </w:rPr>
        <w:t xml:space="preserve">latest </w:t>
      </w:r>
      <w:r w:rsidR="00964A56">
        <w:rPr>
          <w:rFonts w:ascii="Arial" w:hAnsi="Arial" w:cs="Arial"/>
          <w:color w:val="000000"/>
          <w:sz w:val="24"/>
          <w:szCs w:val="24"/>
        </w:rPr>
        <w:t>evidence base, we will keep under constant review the range of levers available to use and how they may be deployed most effectively to meet our policy objectives and avoid unintended consequences.</w:t>
      </w:r>
    </w:p>
    <w:p w14:paraId="382382BB" w14:textId="621B2A3E" w:rsidR="00032F28" w:rsidRDefault="00032F28" w:rsidP="0044538C">
      <w:pPr>
        <w:contextualSpacing/>
        <w:rPr>
          <w:rFonts w:ascii="Arial" w:hAnsi="Arial" w:cs="Arial"/>
          <w:color w:val="000000"/>
          <w:sz w:val="24"/>
          <w:szCs w:val="24"/>
        </w:rPr>
      </w:pPr>
    </w:p>
    <w:p w14:paraId="04547E6F" w14:textId="77777777" w:rsidR="00C16D6B" w:rsidRPr="0039428C" w:rsidRDefault="00C16D6B" w:rsidP="0044538C">
      <w:pPr>
        <w:contextualSpacing/>
        <w:rPr>
          <w:rFonts w:ascii="Arial" w:hAnsi="Arial" w:cs="Arial"/>
          <w:color w:val="000000"/>
          <w:sz w:val="24"/>
          <w:szCs w:val="24"/>
        </w:rPr>
      </w:pPr>
    </w:p>
    <w:sectPr w:rsidR="00C16D6B" w:rsidRPr="0039428C" w:rsidSect="0056473B">
      <w:footerReference w:type="even" r:id="rId17"/>
      <w:footerReference w:type="default" r:id="rId18"/>
      <w:headerReference w:type="first" r:id="rId19"/>
      <w:footerReference w:type="first" r:id="rId20"/>
      <w:pgSz w:w="11906" w:h="16838" w:code="9"/>
      <w:pgMar w:top="1701"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8EE3" w14:textId="77777777" w:rsidR="00A64B61" w:rsidRDefault="00A64B61">
      <w:r>
        <w:separator/>
      </w:r>
    </w:p>
  </w:endnote>
  <w:endnote w:type="continuationSeparator" w:id="0">
    <w:p w14:paraId="3D842FB9" w14:textId="77777777" w:rsidR="00A64B61" w:rsidRDefault="00A6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DF06" w14:textId="77777777" w:rsidR="00E15704" w:rsidRDefault="00E1570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5AFB0" w14:textId="77777777" w:rsidR="00E15704" w:rsidRDefault="00E15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949108"/>
      <w:docPartObj>
        <w:docPartGallery w:val="Page Numbers (Bottom of Page)"/>
        <w:docPartUnique/>
      </w:docPartObj>
    </w:sdtPr>
    <w:sdtEndPr>
      <w:rPr>
        <w:rFonts w:ascii="Arial" w:hAnsi="Arial" w:cs="Arial"/>
        <w:noProof/>
        <w:sz w:val="24"/>
        <w:szCs w:val="24"/>
      </w:rPr>
    </w:sdtEndPr>
    <w:sdtContent>
      <w:p w14:paraId="136C1E63" w14:textId="701848B3" w:rsidR="00E15704" w:rsidRPr="007958A7" w:rsidRDefault="007958A7" w:rsidP="007958A7">
        <w:pPr>
          <w:pStyle w:val="Footer"/>
          <w:jc w:val="center"/>
          <w:rPr>
            <w:rFonts w:ascii="Arial" w:hAnsi="Arial" w:cs="Arial"/>
            <w:sz w:val="24"/>
            <w:szCs w:val="24"/>
          </w:rPr>
        </w:pPr>
        <w:r w:rsidRPr="007958A7">
          <w:rPr>
            <w:rFonts w:ascii="Arial" w:hAnsi="Arial" w:cs="Arial"/>
            <w:sz w:val="24"/>
            <w:szCs w:val="24"/>
          </w:rPr>
          <w:fldChar w:fldCharType="begin"/>
        </w:r>
        <w:r w:rsidRPr="007958A7">
          <w:rPr>
            <w:rFonts w:ascii="Arial" w:hAnsi="Arial" w:cs="Arial"/>
            <w:sz w:val="24"/>
            <w:szCs w:val="24"/>
          </w:rPr>
          <w:instrText xml:space="preserve"> PAGE   \* MERGEFORMAT </w:instrText>
        </w:r>
        <w:r w:rsidRPr="007958A7">
          <w:rPr>
            <w:rFonts w:ascii="Arial" w:hAnsi="Arial" w:cs="Arial"/>
            <w:sz w:val="24"/>
            <w:szCs w:val="24"/>
          </w:rPr>
          <w:fldChar w:fldCharType="separate"/>
        </w:r>
        <w:r w:rsidR="00AB19F1">
          <w:rPr>
            <w:rFonts w:ascii="Arial" w:hAnsi="Arial" w:cs="Arial"/>
            <w:noProof/>
            <w:sz w:val="24"/>
            <w:szCs w:val="24"/>
          </w:rPr>
          <w:t>2</w:t>
        </w:r>
        <w:r w:rsidRPr="007958A7">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E073" w14:textId="31303065" w:rsidR="00E15704" w:rsidRPr="005D2A41" w:rsidRDefault="00E1570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B19F1">
      <w:rPr>
        <w:rStyle w:val="PageNumber"/>
        <w:rFonts w:ascii="Arial" w:hAnsi="Arial" w:cs="Arial"/>
        <w:noProof/>
        <w:sz w:val="24"/>
        <w:szCs w:val="24"/>
      </w:rPr>
      <w:t>1</w:t>
    </w:r>
    <w:r w:rsidRPr="005D2A41">
      <w:rPr>
        <w:rStyle w:val="PageNumber"/>
        <w:rFonts w:ascii="Arial" w:hAnsi="Arial" w:cs="Arial"/>
        <w:sz w:val="24"/>
        <w:szCs w:val="24"/>
      </w:rPr>
      <w:fldChar w:fldCharType="end"/>
    </w:r>
  </w:p>
  <w:p w14:paraId="281F3E9F" w14:textId="77777777" w:rsidR="00E15704" w:rsidRPr="00A845A9" w:rsidRDefault="00E1570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FC3C" w14:textId="77777777" w:rsidR="00A64B61" w:rsidRDefault="00A64B61">
      <w:r>
        <w:separator/>
      </w:r>
    </w:p>
  </w:footnote>
  <w:footnote w:type="continuationSeparator" w:id="0">
    <w:p w14:paraId="468564BF" w14:textId="77777777" w:rsidR="00A64B61" w:rsidRDefault="00A6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7E84" w14:textId="77777777" w:rsidR="00E15704" w:rsidRDefault="00F6422A">
    <w:r>
      <w:rPr>
        <w:noProof/>
        <w:lang w:eastAsia="en-GB"/>
      </w:rPr>
      <w:drawing>
        <wp:anchor distT="0" distB="0" distL="114300" distR="114300" simplePos="0" relativeHeight="251657728" behindDoc="1" locked="0" layoutInCell="1" allowOverlap="1" wp14:anchorId="1A8C7B28" wp14:editId="1A5D6249">
          <wp:simplePos x="0" y="0"/>
          <wp:positionH relativeFrom="column">
            <wp:posOffset>4637405</wp:posOffset>
          </wp:positionH>
          <wp:positionV relativeFrom="paragraph">
            <wp:posOffset>-111760</wp:posOffset>
          </wp:positionV>
          <wp:extent cx="1476375" cy="1400175"/>
          <wp:effectExtent l="0" t="0" r="0" b="0"/>
          <wp:wrapNone/>
          <wp:docPr id="3" name="Picture 3" descr="WG_positive_4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AE34FAA" w14:textId="77777777" w:rsidR="00E15704" w:rsidRDefault="00E15704">
    <w:pPr>
      <w:pStyle w:val="Header"/>
    </w:pPr>
  </w:p>
  <w:p w14:paraId="2D741210" w14:textId="77777777" w:rsidR="00E15704" w:rsidRDefault="00E15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3822"/>
    <w:multiLevelType w:val="hybridMultilevel"/>
    <w:tmpl w:val="83A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A6DD0"/>
    <w:multiLevelType w:val="hybridMultilevel"/>
    <w:tmpl w:val="299E0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6A1BD0"/>
    <w:multiLevelType w:val="hybridMultilevel"/>
    <w:tmpl w:val="66AAE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6357D6"/>
    <w:multiLevelType w:val="hybridMultilevel"/>
    <w:tmpl w:val="003C4F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25B60307"/>
    <w:multiLevelType w:val="hybridMultilevel"/>
    <w:tmpl w:val="99B088CE"/>
    <w:lvl w:ilvl="0" w:tplc="E97278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85F13"/>
    <w:multiLevelType w:val="hybridMultilevel"/>
    <w:tmpl w:val="437E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B25EC"/>
    <w:multiLevelType w:val="hybridMultilevel"/>
    <w:tmpl w:val="2D627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EF6C07"/>
    <w:multiLevelType w:val="hybridMultilevel"/>
    <w:tmpl w:val="8C7E3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3B39D5"/>
    <w:multiLevelType w:val="hybridMultilevel"/>
    <w:tmpl w:val="B15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E3BF3"/>
    <w:multiLevelType w:val="hybridMultilevel"/>
    <w:tmpl w:val="402E9C32"/>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418432E2"/>
    <w:multiLevelType w:val="hybridMultilevel"/>
    <w:tmpl w:val="B31CB138"/>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51A6A"/>
    <w:multiLevelType w:val="hybridMultilevel"/>
    <w:tmpl w:val="47EEEB10"/>
    <w:lvl w:ilvl="0" w:tplc="D6B8E9FC">
      <w:start w:val="1"/>
      <w:numFmt w:val="decimal"/>
      <w:lvlText w:val="%1."/>
      <w:lvlJc w:val="left"/>
      <w:pPr>
        <w:ind w:left="360" w:hanging="360"/>
      </w:pPr>
      <w:rPr>
        <w:rFonts w:ascii="Arial" w:hAnsi="Arial" w:cs="Arial"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050240"/>
    <w:multiLevelType w:val="hybridMultilevel"/>
    <w:tmpl w:val="030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B1AA8"/>
    <w:multiLevelType w:val="hybridMultilevel"/>
    <w:tmpl w:val="61E024C8"/>
    <w:lvl w:ilvl="0" w:tplc="E9727810">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4F524508"/>
    <w:multiLevelType w:val="hybridMultilevel"/>
    <w:tmpl w:val="9580CA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465B7E"/>
    <w:multiLevelType w:val="multilevel"/>
    <w:tmpl w:val="D786AE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C56B41"/>
    <w:multiLevelType w:val="hybridMultilevel"/>
    <w:tmpl w:val="48FC6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61C2B89"/>
    <w:multiLevelType w:val="hybridMultilevel"/>
    <w:tmpl w:val="9EAE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E5FB7"/>
    <w:multiLevelType w:val="hybridMultilevel"/>
    <w:tmpl w:val="8AEC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D347C5"/>
    <w:multiLevelType w:val="hybridMultilevel"/>
    <w:tmpl w:val="A0E29074"/>
    <w:lvl w:ilvl="0" w:tplc="DA54820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A5DB5"/>
    <w:multiLevelType w:val="hybridMultilevel"/>
    <w:tmpl w:val="66C64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164FA7"/>
    <w:multiLevelType w:val="hybridMultilevel"/>
    <w:tmpl w:val="D50CD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B42BF2"/>
    <w:multiLevelType w:val="hybridMultilevel"/>
    <w:tmpl w:val="1EF02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361231"/>
    <w:multiLevelType w:val="hybridMultilevel"/>
    <w:tmpl w:val="0B5C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D0275"/>
    <w:multiLevelType w:val="hybridMultilevel"/>
    <w:tmpl w:val="E85CA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80069812">
    <w:abstractNumId w:val="13"/>
  </w:num>
  <w:num w:numId="2" w16cid:durableId="1373119463">
    <w:abstractNumId w:val="3"/>
  </w:num>
  <w:num w:numId="3" w16cid:durableId="284391478">
    <w:abstractNumId w:val="3"/>
  </w:num>
  <w:num w:numId="4" w16cid:durableId="1936358177">
    <w:abstractNumId w:val="9"/>
  </w:num>
  <w:num w:numId="5" w16cid:durableId="358705596">
    <w:abstractNumId w:val="7"/>
  </w:num>
  <w:num w:numId="6" w16cid:durableId="958880668">
    <w:abstractNumId w:val="0"/>
  </w:num>
  <w:num w:numId="7" w16cid:durableId="1277374201">
    <w:abstractNumId w:val="18"/>
  </w:num>
  <w:num w:numId="8" w16cid:durableId="847720302">
    <w:abstractNumId w:val="14"/>
  </w:num>
  <w:num w:numId="9" w16cid:durableId="346104556">
    <w:abstractNumId w:val="16"/>
  </w:num>
  <w:num w:numId="10" w16cid:durableId="1412657518">
    <w:abstractNumId w:val="4"/>
  </w:num>
  <w:num w:numId="11" w16cid:durableId="1858882638">
    <w:abstractNumId w:val="8"/>
  </w:num>
  <w:num w:numId="12" w16cid:durableId="1971158086">
    <w:abstractNumId w:val="23"/>
  </w:num>
  <w:num w:numId="13" w16cid:durableId="2015379142">
    <w:abstractNumId w:val="21"/>
  </w:num>
  <w:num w:numId="14" w16cid:durableId="226571751">
    <w:abstractNumId w:val="10"/>
  </w:num>
  <w:num w:numId="15" w16cid:durableId="1154638540">
    <w:abstractNumId w:val="22"/>
  </w:num>
  <w:num w:numId="16" w16cid:durableId="1885632690">
    <w:abstractNumId w:val="15"/>
  </w:num>
  <w:num w:numId="17" w16cid:durableId="1041318469">
    <w:abstractNumId w:val="5"/>
  </w:num>
  <w:num w:numId="18" w16cid:durableId="1327053548">
    <w:abstractNumId w:val="17"/>
  </w:num>
  <w:num w:numId="19" w16cid:durableId="1735153280">
    <w:abstractNumId w:val="24"/>
  </w:num>
  <w:num w:numId="20" w16cid:durableId="2096634267">
    <w:abstractNumId w:val="12"/>
  </w:num>
  <w:num w:numId="21" w16cid:durableId="1559899213">
    <w:abstractNumId w:val="19"/>
  </w:num>
  <w:num w:numId="22" w16cid:durableId="920021927">
    <w:abstractNumId w:val="2"/>
  </w:num>
  <w:num w:numId="23" w16cid:durableId="970015104">
    <w:abstractNumId w:val="6"/>
  </w:num>
  <w:num w:numId="24" w16cid:durableId="1834953184">
    <w:abstractNumId w:val="20"/>
  </w:num>
  <w:num w:numId="25" w16cid:durableId="697390780">
    <w:abstractNumId w:val="1"/>
  </w:num>
  <w:num w:numId="26" w16cid:durableId="6495525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0C47"/>
    <w:rsid w:val="00001824"/>
    <w:rsid w:val="00002441"/>
    <w:rsid w:val="000028E3"/>
    <w:rsid w:val="000039DD"/>
    <w:rsid w:val="000039E7"/>
    <w:rsid w:val="0000444A"/>
    <w:rsid w:val="00005F11"/>
    <w:rsid w:val="000066FB"/>
    <w:rsid w:val="00020C4D"/>
    <w:rsid w:val="000213EC"/>
    <w:rsid w:val="00023B69"/>
    <w:rsid w:val="0002527B"/>
    <w:rsid w:val="00025C3A"/>
    <w:rsid w:val="00032F28"/>
    <w:rsid w:val="00034FAE"/>
    <w:rsid w:val="0003703B"/>
    <w:rsid w:val="0004334A"/>
    <w:rsid w:val="0004584E"/>
    <w:rsid w:val="000476EF"/>
    <w:rsid w:val="00050281"/>
    <w:rsid w:val="00050E60"/>
    <w:rsid w:val="000516D9"/>
    <w:rsid w:val="000519B4"/>
    <w:rsid w:val="000538CA"/>
    <w:rsid w:val="000572C3"/>
    <w:rsid w:val="0005748C"/>
    <w:rsid w:val="00062470"/>
    <w:rsid w:val="00062663"/>
    <w:rsid w:val="00064688"/>
    <w:rsid w:val="00064989"/>
    <w:rsid w:val="00065294"/>
    <w:rsid w:val="00066251"/>
    <w:rsid w:val="00067A30"/>
    <w:rsid w:val="00075271"/>
    <w:rsid w:val="00076A40"/>
    <w:rsid w:val="00081C02"/>
    <w:rsid w:val="00084612"/>
    <w:rsid w:val="00085DE9"/>
    <w:rsid w:val="00090C3D"/>
    <w:rsid w:val="00097118"/>
    <w:rsid w:val="00097991"/>
    <w:rsid w:val="00097E3B"/>
    <w:rsid w:val="000A15B4"/>
    <w:rsid w:val="000A20CB"/>
    <w:rsid w:val="000A477D"/>
    <w:rsid w:val="000A7507"/>
    <w:rsid w:val="000A7534"/>
    <w:rsid w:val="000B0588"/>
    <w:rsid w:val="000B08DF"/>
    <w:rsid w:val="000B2830"/>
    <w:rsid w:val="000B3075"/>
    <w:rsid w:val="000B529B"/>
    <w:rsid w:val="000B5688"/>
    <w:rsid w:val="000B74D1"/>
    <w:rsid w:val="000C3A52"/>
    <w:rsid w:val="000C45E7"/>
    <w:rsid w:val="000C53DB"/>
    <w:rsid w:val="000C60A1"/>
    <w:rsid w:val="000C7393"/>
    <w:rsid w:val="000D54B8"/>
    <w:rsid w:val="000D5FA9"/>
    <w:rsid w:val="000E1049"/>
    <w:rsid w:val="000E3569"/>
    <w:rsid w:val="000E359E"/>
    <w:rsid w:val="000E3BCB"/>
    <w:rsid w:val="000E5BDC"/>
    <w:rsid w:val="000E62CB"/>
    <w:rsid w:val="000E6B6C"/>
    <w:rsid w:val="000F3DDA"/>
    <w:rsid w:val="000F483E"/>
    <w:rsid w:val="000F693F"/>
    <w:rsid w:val="000F6C17"/>
    <w:rsid w:val="000F6D3E"/>
    <w:rsid w:val="000F70DD"/>
    <w:rsid w:val="001013E4"/>
    <w:rsid w:val="0010149A"/>
    <w:rsid w:val="0010275C"/>
    <w:rsid w:val="00102DC6"/>
    <w:rsid w:val="001105ED"/>
    <w:rsid w:val="001113AF"/>
    <w:rsid w:val="001146E4"/>
    <w:rsid w:val="00116DCB"/>
    <w:rsid w:val="0012050E"/>
    <w:rsid w:val="001207D7"/>
    <w:rsid w:val="00134918"/>
    <w:rsid w:val="00141F69"/>
    <w:rsid w:val="001460B1"/>
    <w:rsid w:val="001510F6"/>
    <w:rsid w:val="0015125C"/>
    <w:rsid w:val="001545EB"/>
    <w:rsid w:val="0017102C"/>
    <w:rsid w:val="0017163E"/>
    <w:rsid w:val="0017254F"/>
    <w:rsid w:val="00172D47"/>
    <w:rsid w:val="001808A2"/>
    <w:rsid w:val="0018265A"/>
    <w:rsid w:val="001829A2"/>
    <w:rsid w:val="00183A5D"/>
    <w:rsid w:val="00183B3C"/>
    <w:rsid w:val="00187207"/>
    <w:rsid w:val="00187A11"/>
    <w:rsid w:val="00192C51"/>
    <w:rsid w:val="001A178F"/>
    <w:rsid w:val="001A1C87"/>
    <w:rsid w:val="001A2059"/>
    <w:rsid w:val="001A39E2"/>
    <w:rsid w:val="001B027C"/>
    <w:rsid w:val="001B0C6D"/>
    <w:rsid w:val="001B288D"/>
    <w:rsid w:val="001C0A6C"/>
    <w:rsid w:val="001C3172"/>
    <w:rsid w:val="001C441A"/>
    <w:rsid w:val="001C532F"/>
    <w:rsid w:val="001D3287"/>
    <w:rsid w:val="001E1709"/>
    <w:rsid w:val="001F194C"/>
    <w:rsid w:val="001F1FB5"/>
    <w:rsid w:val="001F3566"/>
    <w:rsid w:val="001F633E"/>
    <w:rsid w:val="00204F16"/>
    <w:rsid w:val="00211543"/>
    <w:rsid w:val="00212802"/>
    <w:rsid w:val="00213A13"/>
    <w:rsid w:val="00213C3C"/>
    <w:rsid w:val="002140C8"/>
    <w:rsid w:val="00214ABA"/>
    <w:rsid w:val="00214B25"/>
    <w:rsid w:val="00220773"/>
    <w:rsid w:val="002207DA"/>
    <w:rsid w:val="00220FD2"/>
    <w:rsid w:val="00223E62"/>
    <w:rsid w:val="00224932"/>
    <w:rsid w:val="002263DF"/>
    <w:rsid w:val="00241A42"/>
    <w:rsid w:val="0024600D"/>
    <w:rsid w:val="00253C1B"/>
    <w:rsid w:val="00255851"/>
    <w:rsid w:val="00256898"/>
    <w:rsid w:val="00257313"/>
    <w:rsid w:val="00257543"/>
    <w:rsid w:val="00257576"/>
    <w:rsid w:val="002600E9"/>
    <w:rsid w:val="002609B3"/>
    <w:rsid w:val="002612D8"/>
    <w:rsid w:val="00262313"/>
    <w:rsid w:val="00262C30"/>
    <w:rsid w:val="00263051"/>
    <w:rsid w:val="00264FD0"/>
    <w:rsid w:val="002707DB"/>
    <w:rsid w:val="00272725"/>
    <w:rsid w:val="00274146"/>
    <w:rsid w:val="002772EB"/>
    <w:rsid w:val="0028271B"/>
    <w:rsid w:val="002854CB"/>
    <w:rsid w:val="002855B6"/>
    <w:rsid w:val="002872DC"/>
    <w:rsid w:val="0029530F"/>
    <w:rsid w:val="002967C9"/>
    <w:rsid w:val="002A18F5"/>
    <w:rsid w:val="002A4421"/>
    <w:rsid w:val="002A5310"/>
    <w:rsid w:val="002A566B"/>
    <w:rsid w:val="002B21BA"/>
    <w:rsid w:val="002B286B"/>
    <w:rsid w:val="002B549E"/>
    <w:rsid w:val="002C23B4"/>
    <w:rsid w:val="002C33B1"/>
    <w:rsid w:val="002C5169"/>
    <w:rsid w:val="002C57B6"/>
    <w:rsid w:val="002C7EB2"/>
    <w:rsid w:val="002D1407"/>
    <w:rsid w:val="002D7768"/>
    <w:rsid w:val="002E2245"/>
    <w:rsid w:val="002E3FEF"/>
    <w:rsid w:val="002E4760"/>
    <w:rsid w:val="002E7F2C"/>
    <w:rsid w:val="002F0EB9"/>
    <w:rsid w:val="002F4ECD"/>
    <w:rsid w:val="002F53A9"/>
    <w:rsid w:val="002F691D"/>
    <w:rsid w:val="00304AF4"/>
    <w:rsid w:val="0031016A"/>
    <w:rsid w:val="0031341D"/>
    <w:rsid w:val="0031353A"/>
    <w:rsid w:val="00314E36"/>
    <w:rsid w:val="00315457"/>
    <w:rsid w:val="00316CD7"/>
    <w:rsid w:val="003177C0"/>
    <w:rsid w:val="00321838"/>
    <w:rsid w:val="00321C3F"/>
    <w:rsid w:val="003220C1"/>
    <w:rsid w:val="00322BEC"/>
    <w:rsid w:val="00323BDC"/>
    <w:rsid w:val="003246D2"/>
    <w:rsid w:val="003251BC"/>
    <w:rsid w:val="00325E04"/>
    <w:rsid w:val="003310C7"/>
    <w:rsid w:val="003317DC"/>
    <w:rsid w:val="003366BA"/>
    <w:rsid w:val="0033696B"/>
    <w:rsid w:val="00336BF5"/>
    <w:rsid w:val="00342719"/>
    <w:rsid w:val="003430AF"/>
    <w:rsid w:val="0034329B"/>
    <w:rsid w:val="00350B14"/>
    <w:rsid w:val="00351D12"/>
    <w:rsid w:val="00356D7B"/>
    <w:rsid w:val="00356D8B"/>
    <w:rsid w:val="003576B8"/>
    <w:rsid w:val="00357893"/>
    <w:rsid w:val="00364CC1"/>
    <w:rsid w:val="003656D6"/>
    <w:rsid w:val="00370471"/>
    <w:rsid w:val="0038026D"/>
    <w:rsid w:val="00380AC6"/>
    <w:rsid w:val="003836A1"/>
    <w:rsid w:val="003841A9"/>
    <w:rsid w:val="003851E1"/>
    <w:rsid w:val="003854FC"/>
    <w:rsid w:val="00392187"/>
    <w:rsid w:val="0039428C"/>
    <w:rsid w:val="00394EEF"/>
    <w:rsid w:val="00395B02"/>
    <w:rsid w:val="003964B4"/>
    <w:rsid w:val="00396B6C"/>
    <w:rsid w:val="003978FA"/>
    <w:rsid w:val="003A1784"/>
    <w:rsid w:val="003A6276"/>
    <w:rsid w:val="003B1503"/>
    <w:rsid w:val="003B3D64"/>
    <w:rsid w:val="003B43FC"/>
    <w:rsid w:val="003C23FF"/>
    <w:rsid w:val="003C2F30"/>
    <w:rsid w:val="003C5133"/>
    <w:rsid w:val="003C6125"/>
    <w:rsid w:val="003D1C47"/>
    <w:rsid w:val="003D2014"/>
    <w:rsid w:val="003D3F93"/>
    <w:rsid w:val="003E33C4"/>
    <w:rsid w:val="003E4F43"/>
    <w:rsid w:val="003F1151"/>
    <w:rsid w:val="003F1AF2"/>
    <w:rsid w:val="003F1C49"/>
    <w:rsid w:val="003F33AA"/>
    <w:rsid w:val="00402296"/>
    <w:rsid w:val="00403711"/>
    <w:rsid w:val="00403CDF"/>
    <w:rsid w:val="00404C4B"/>
    <w:rsid w:val="00406588"/>
    <w:rsid w:val="00407C9D"/>
    <w:rsid w:val="00411081"/>
    <w:rsid w:val="0041151A"/>
    <w:rsid w:val="00411F8E"/>
    <w:rsid w:val="00412673"/>
    <w:rsid w:val="004142E3"/>
    <w:rsid w:val="00425E37"/>
    <w:rsid w:val="0043031D"/>
    <w:rsid w:val="00436ABF"/>
    <w:rsid w:val="00436CD1"/>
    <w:rsid w:val="00442F6F"/>
    <w:rsid w:val="0044538C"/>
    <w:rsid w:val="0044577F"/>
    <w:rsid w:val="0045305D"/>
    <w:rsid w:val="00453092"/>
    <w:rsid w:val="00455579"/>
    <w:rsid w:val="0045683A"/>
    <w:rsid w:val="004633F3"/>
    <w:rsid w:val="0046757C"/>
    <w:rsid w:val="0047741A"/>
    <w:rsid w:val="00480582"/>
    <w:rsid w:val="004836BC"/>
    <w:rsid w:val="00484F57"/>
    <w:rsid w:val="0049251F"/>
    <w:rsid w:val="00493F8B"/>
    <w:rsid w:val="004A20E2"/>
    <w:rsid w:val="004A4610"/>
    <w:rsid w:val="004A66C3"/>
    <w:rsid w:val="004B35B1"/>
    <w:rsid w:val="004B5A58"/>
    <w:rsid w:val="004C0561"/>
    <w:rsid w:val="004C53D2"/>
    <w:rsid w:val="004C6B48"/>
    <w:rsid w:val="004D041D"/>
    <w:rsid w:val="004D0915"/>
    <w:rsid w:val="004D7C57"/>
    <w:rsid w:val="004E190C"/>
    <w:rsid w:val="004F08C1"/>
    <w:rsid w:val="00507187"/>
    <w:rsid w:val="00516516"/>
    <w:rsid w:val="005225E4"/>
    <w:rsid w:val="00525400"/>
    <w:rsid w:val="00530FEE"/>
    <w:rsid w:val="00532A99"/>
    <w:rsid w:val="00533C65"/>
    <w:rsid w:val="00535BCB"/>
    <w:rsid w:val="00536DE9"/>
    <w:rsid w:val="0054772F"/>
    <w:rsid w:val="00547EF8"/>
    <w:rsid w:val="0055572B"/>
    <w:rsid w:val="005575D4"/>
    <w:rsid w:val="0056473B"/>
    <w:rsid w:val="00566223"/>
    <w:rsid w:val="00574BB3"/>
    <w:rsid w:val="00575CAF"/>
    <w:rsid w:val="00577EAB"/>
    <w:rsid w:val="00582E5E"/>
    <w:rsid w:val="0058464D"/>
    <w:rsid w:val="00596FEB"/>
    <w:rsid w:val="005975B7"/>
    <w:rsid w:val="005978AF"/>
    <w:rsid w:val="005A22E2"/>
    <w:rsid w:val="005A59E1"/>
    <w:rsid w:val="005A7E79"/>
    <w:rsid w:val="005B030B"/>
    <w:rsid w:val="005B59EA"/>
    <w:rsid w:val="005B600D"/>
    <w:rsid w:val="005C1A72"/>
    <w:rsid w:val="005C2158"/>
    <w:rsid w:val="005C471C"/>
    <w:rsid w:val="005C589E"/>
    <w:rsid w:val="005D09B1"/>
    <w:rsid w:val="005D1FA2"/>
    <w:rsid w:val="005D2A41"/>
    <w:rsid w:val="005D2E7B"/>
    <w:rsid w:val="005D3879"/>
    <w:rsid w:val="005D6A85"/>
    <w:rsid w:val="005D6B94"/>
    <w:rsid w:val="005D7663"/>
    <w:rsid w:val="005E1088"/>
    <w:rsid w:val="005E2C45"/>
    <w:rsid w:val="005E2DB3"/>
    <w:rsid w:val="005F5CFF"/>
    <w:rsid w:val="005F655E"/>
    <w:rsid w:val="005F6B74"/>
    <w:rsid w:val="00601FA2"/>
    <w:rsid w:val="006050D6"/>
    <w:rsid w:val="00611F2A"/>
    <w:rsid w:val="0061280E"/>
    <w:rsid w:val="006134BD"/>
    <w:rsid w:val="0061446B"/>
    <w:rsid w:val="00615E40"/>
    <w:rsid w:val="00616587"/>
    <w:rsid w:val="006202C6"/>
    <w:rsid w:val="0062030D"/>
    <w:rsid w:val="0062093B"/>
    <w:rsid w:val="00622D01"/>
    <w:rsid w:val="00622DE7"/>
    <w:rsid w:val="00627981"/>
    <w:rsid w:val="00627A7D"/>
    <w:rsid w:val="0063121C"/>
    <w:rsid w:val="00633D46"/>
    <w:rsid w:val="006343CD"/>
    <w:rsid w:val="00635D1B"/>
    <w:rsid w:val="0063623C"/>
    <w:rsid w:val="0063736C"/>
    <w:rsid w:val="00641239"/>
    <w:rsid w:val="0064207F"/>
    <w:rsid w:val="00645CDD"/>
    <w:rsid w:val="0064677D"/>
    <w:rsid w:val="006478B8"/>
    <w:rsid w:val="00650CF2"/>
    <w:rsid w:val="00653612"/>
    <w:rsid w:val="0065444B"/>
    <w:rsid w:val="00654C0A"/>
    <w:rsid w:val="0065665C"/>
    <w:rsid w:val="006633C7"/>
    <w:rsid w:val="006637F8"/>
    <w:rsid w:val="00663F04"/>
    <w:rsid w:val="00665F21"/>
    <w:rsid w:val="00671559"/>
    <w:rsid w:val="00674E0F"/>
    <w:rsid w:val="006814BD"/>
    <w:rsid w:val="00682BAB"/>
    <w:rsid w:val="00683461"/>
    <w:rsid w:val="0069133F"/>
    <w:rsid w:val="006921DE"/>
    <w:rsid w:val="00692953"/>
    <w:rsid w:val="00693184"/>
    <w:rsid w:val="00693643"/>
    <w:rsid w:val="0069504E"/>
    <w:rsid w:val="00696D6E"/>
    <w:rsid w:val="006A1C6A"/>
    <w:rsid w:val="006A5CA4"/>
    <w:rsid w:val="006A644D"/>
    <w:rsid w:val="006A7B12"/>
    <w:rsid w:val="006B00BC"/>
    <w:rsid w:val="006B23B3"/>
    <w:rsid w:val="006B340E"/>
    <w:rsid w:val="006B461D"/>
    <w:rsid w:val="006B5E51"/>
    <w:rsid w:val="006B6381"/>
    <w:rsid w:val="006B7486"/>
    <w:rsid w:val="006C1AEA"/>
    <w:rsid w:val="006C37B4"/>
    <w:rsid w:val="006C3988"/>
    <w:rsid w:val="006C78D1"/>
    <w:rsid w:val="006D0EFF"/>
    <w:rsid w:val="006D40B9"/>
    <w:rsid w:val="006D5B4D"/>
    <w:rsid w:val="006D6A07"/>
    <w:rsid w:val="006E0A2C"/>
    <w:rsid w:val="006E1047"/>
    <w:rsid w:val="006E16A8"/>
    <w:rsid w:val="006E1C49"/>
    <w:rsid w:val="006E6E37"/>
    <w:rsid w:val="006E7A2D"/>
    <w:rsid w:val="006F052E"/>
    <w:rsid w:val="006F1297"/>
    <w:rsid w:val="006F770D"/>
    <w:rsid w:val="00702ACC"/>
    <w:rsid w:val="00703559"/>
    <w:rsid w:val="00703993"/>
    <w:rsid w:val="00707D01"/>
    <w:rsid w:val="00714C5E"/>
    <w:rsid w:val="00716A6F"/>
    <w:rsid w:val="00722310"/>
    <w:rsid w:val="007308A0"/>
    <w:rsid w:val="00730C83"/>
    <w:rsid w:val="00730D17"/>
    <w:rsid w:val="0073171B"/>
    <w:rsid w:val="007335A7"/>
    <w:rsid w:val="0073380E"/>
    <w:rsid w:val="00734C60"/>
    <w:rsid w:val="007364B9"/>
    <w:rsid w:val="007365D7"/>
    <w:rsid w:val="00740890"/>
    <w:rsid w:val="00743B79"/>
    <w:rsid w:val="007523BC"/>
    <w:rsid w:val="00752C48"/>
    <w:rsid w:val="0075794F"/>
    <w:rsid w:val="00761D67"/>
    <w:rsid w:val="00763E98"/>
    <w:rsid w:val="007654BE"/>
    <w:rsid w:val="0076586E"/>
    <w:rsid w:val="00766D35"/>
    <w:rsid w:val="00770834"/>
    <w:rsid w:val="00784B0C"/>
    <w:rsid w:val="00785CC1"/>
    <w:rsid w:val="00790BEE"/>
    <w:rsid w:val="007958A7"/>
    <w:rsid w:val="00797D41"/>
    <w:rsid w:val="007A05FB"/>
    <w:rsid w:val="007A3EDC"/>
    <w:rsid w:val="007A4ABE"/>
    <w:rsid w:val="007A5026"/>
    <w:rsid w:val="007A5105"/>
    <w:rsid w:val="007A742C"/>
    <w:rsid w:val="007B5260"/>
    <w:rsid w:val="007C24E7"/>
    <w:rsid w:val="007C66E7"/>
    <w:rsid w:val="007D1402"/>
    <w:rsid w:val="007D323A"/>
    <w:rsid w:val="007D418E"/>
    <w:rsid w:val="007D4299"/>
    <w:rsid w:val="007D469B"/>
    <w:rsid w:val="007D655A"/>
    <w:rsid w:val="007D6787"/>
    <w:rsid w:val="007E0A86"/>
    <w:rsid w:val="007E1BFF"/>
    <w:rsid w:val="007E1DDD"/>
    <w:rsid w:val="007E2D1F"/>
    <w:rsid w:val="007F1857"/>
    <w:rsid w:val="007F28CF"/>
    <w:rsid w:val="007F4155"/>
    <w:rsid w:val="007F545E"/>
    <w:rsid w:val="007F5E64"/>
    <w:rsid w:val="007F5F50"/>
    <w:rsid w:val="007F7EEC"/>
    <w:rsid w:val="00800FA0"/>
    <w:rsid w:val="008034ED"/>
    <w:rsid w:val="00806C2E"/>
    <w:rsid w:val="008114D3"/>
    <w:rsid w:val="00812370"/>
    <w:rsid w:val="00813A01"/>
    <w:rsid w:val="00816F49"/>
    <w:rsid w:val="00822EA3"/>
    <w:rsid w:val="0082411A"/>
    <w:rsid w:val="00825178"/>
    <w:rsid w:val="008258CF"/>
    <w:rsid w:val="008301CA"/>
    <w:rsid w:val="00840288"/>
    <w:rsid w:val="00841628"/>
    <w:rsid w:val="0084344B"/>
    <w:rsid w:val="00846160"/>
    <w:rsid w:val="00852C59"/>
    <w:rsid w:val="0085327A"/>
    <w:rsid w:val="00856108"/>
    <w:rsid w:val="00856E24"/>
    <w:rsid w:val="00863A83"/>
    <w:rsid w:val="00865587"/>
    <w:rsid w:val="00865EF2"/>
    <w:rsid w:val="008670E7"/>
    <w:rsid w:val="00867F8C"/>
    <w:rsid w:val="00870F0A"/>
    <w:rsid w:val="0087102C"/>
    <w:rsid w:val="008769ED"/>
    <w:rsid w:val="00876C2E"/>
    <w:rsid w:val="00877BD2"/>
    <w:rsid w:val="0088043F"/>
    <w:rsid w:val="00890C2A"/>
    <w:rsid w:val="008928A7"/>
    <w:rsid w:val="008A4D97"/>
    <w:rsid w:val="008A506B"/>
    <w:rsid w:val="008A5FD7"/>
    <w:rsid w:val="008B0BDC"/>
    <w:rsid w:val="008B2003"/>
    <w:rsid w:val="008B2F01"/>
    <w:rsid w:val="008B7927"/>
    <w:rsid w:val="008C0338"/>
    <w:rsid w:val="008C1249"/>
    <w:rsid w:val="008C2CEE"/>
    <w:rsid w:val="008C52A7"/>
    <w:rsid w:val="008C53DB"/>
    <w:rsid w:val="008D0938"/>
    <w:rsid w:val="008D1A8E"/>
    <w:rsid w:val="008D1E0B"/>
    <w:rsid w:val="008D205B"/>
    <w:rsid w:val="008D534E"/>
    <w:rsid w:val="008D74D5"/>
    <w:rsid w:val="008E2CD2"/>
    <w:rsid w:val="008F0CC6"/>
    <w:rsid w:val="008F789E"/>
    <w:rsid w:val="00910582"/>
    <w:rsid w:val="009114D3"/>
    <w:rsid w:val="00914F00"/>
    <w:rsid w:val="0091530D"/>
    <w:rsid w:val="00915392"/>
    <w:rsid w:val="00916B97"/>
    <w:rsid w:val="00920C9D"/>
    <w:rsid w:val="0092749F"/>
    <w:rsid w:val="00931AC8"/>
    <w:rsid w:val="00944CC9"/>
    <w:rsid w:val="0095249A"/>
    <w:rsid w:val="00953A46"/>
    <w:rsid w:val="00960887"/>
    <w:rsid w:val="00962E49"/>
    <w:rsid w:val="00964A56"/>
    <w:rsid w:val="00964AA9"/>
    <w:rsid w:val="00967473"/>
    <w:rsid w:val="009714DD"/>
    <w:rsid w:val="00971D16"/>
    <w:rsid w:val="00972F13"/>
    <w:rsid w:val="00973090"/>
    <w:rsid w:val="00973A85"/>
    <w:rsid w:val="00980249"/>
    <w:rsid w:val="00981A40"/>
    <w:rsid w:val="00981A75"/>
    <w:rsid w:val="00982D61"/>
    <w:rsid w:val="00983663"/>
    <w:rsid w:val="00986F00"/>
    <w:rsid w:val="009900E4"/>
    <w:rsid w:val="00990375"/>
    <w:rsid w:val="0099467B"/>
    <w:rsid w:val="00995EEC"/>
    <w:rsid w:val="0099605C"/>
    <w:rsid w:val="009A6EDE"/>
    <w:rsid w:val="009B1106"/>
    <w:rsid w:val="009B20B4"/>
    <w:rsid w:val="009B7D2C"/>
    <w:rsid w:val="009C02F6"/>
    <w:rsid w:val="009C1663"/>
    <w:rsid w:val="009C271A"/>
    <w:rsid w:val="009C39FE"/>
    <w:rsid w:val="009D2DD0"/>
    <w:rsid w:val="009D55E6"/>
    <w:rsid w:val="009E0FA7"/>
    <w:rsid w:val="009E1367"/>
    <w:rsid w:val="009E4974"/>
    <w:rsid w:val="009E68E3"/>
    <w:rsid w:val="009F06C3"/>
    <w:rsid w:val="009F6FA4"/>
    <w:rsid w:val="00A01726"/>
    <w:rsid w:val="00A07BF2"/>
    <w:rsid w:val="00A109B8"/>
    <w:rsid w:val="00A120EE"/>
    <w:rsid w:val="00A15E76"/>
    <w:rsid w:val="00A1622F"/>
    <w:rsid w:val="00A16504"/>
    <w:rsid w:val="00A204C9"/>
    <w:rsid w:val="00A21C93"/>
    <w:rsid w:val="00A23742"/>
    <w:rsid w:val="00A26FEE"/>
    <w:rsid w:val="00A3247B"/>
    <w:rsid w:val="00A35DFA"/>
    <w:rsid w:val="00A3732B"/>
    <w:rsid w:val="00A376BF"/>
    <w:rsid w:val="00A4260B"/>
    <w:rsid w:val="00A45159"/>
    <w:rsid w:val="00A4589A"/>
    <w:rsid w:val="00A47E99"/>
    <w:rsid w:val="00A51E40"/>
    <w:rsid w:val="00A60392"/>
    <w:rsid w:val="00A612BA"/>
    <w:rsid w:val="00A63AC4"/>
    <w:rsid w:val="00A64B61"/>
    <w:rsid w:val="00A72CF3"/>
    <w:rsid w:val="00A8000C"/>
    <w:rsid w:val="00A82A45"/>
    <w:rsid w:val="00A845A9"/>
    <w:rsid w:val="00A84E96"/>
    <w:rsid w:val="00A86958"/>
    <w:rsid w:val="00AA0866"/>
    <w:rsid w:val="00AA1D22"/>
    <w:rsid w:val="00AA3257"/>
    <w:rsid w:val="00AA4029"/>
    <w:rsid w:val="00AA5651"/>
    <w:rsid w:val="00AA5848"/>
    <w:rsid w:val="00AA7750"/>
    <w:rsid w:val="00AA78E2"/>
    <w:rsid w:val="00AB01AF"/>
    <w:rsid w:val="00AB19F1"/>
    <w:rsid w:val="00AB40EA"/>
    <w:rsid w:val="00AB4A85"/>
    <w:rsid w:val="00AB5ACA"/>
    <w:rsid w:val="00AB7F40"/>
    <w:rsid w:val="00AC2E52"/>
    <w:rsid w:val="00AC3427"/>
    <w:rsid w:val="00AC3FC3"/>
    <w:rsid w:val="00AC5E1F"/>
    <w:rsid w:val="00AC65E6"/>
    <w:rsid w:val="00AD298D"/>
    <w:rsid w:val="00AD2A2A"/>
    <w:rsid w:val="00AD2D45"/>
    <w:rsid w:val="00AD372D"/>
    <w:rsid w:val="00AD5C21"/>
    <w:rsid w:val="00AE064D"/>
    <w:rsid w:val="00AE6E81"/>
    <w:rsid w:val="00AF056B"/>
    <w:rsid w:val="00AF2DBC"/>
    <w:rsid w:val="00AF2FBB"/>
    <w:rsid w:val="00AF560E"/>
    <w:rsid w:val="00B01785"/>
    <w:rsid w:val="00B01855"/>
    <w:rsid w:val="00B11745"/>
    <w:rsid w:val="00B14077"/>
    <w:rsid w:val="00B212EF"/>
    <w:rsid w:val="00B229BC"/>
    <w:rsid w:val="00B239BA"/>
    <w:rsid w:val="00B246B1"/>
    <w:rsid w:val="00B27E0A"/>
    <w:rsid w:val="00B313B7"/>
    <w:rsid w:val="00B31E73"/>
    <w:rsid w:val="00B31FCD"/>
    <w:rsid w:val="00B350A3"/>
    <w:rsid w:val="00B415B4"/>
    <w:rsid w:val="00B468BB"/>
    <w:rsid w:val="00B5193C"/>
    <w:rsid w:val="00B53112"/>
    <w:rsid w:val="00B53EEF"/>
    <w:rsid w:val="00B55E07"/>
    <w:rsid w:val="00B57E01"/>
    <w:rsid w:val="00B61916"/>
    <w:rsid w:val="00B64C7B"/>
    <w:rsid w:val="00B67935"/>
    <w:rsid w:val="00B77B1E"/>
    <w:rsid w:val="00B77E8C"/>
    <w:rsid w:val="00B80FCD"/>
    <w:rsid w:val="00B81F17"/>
    <w:rsid w:val="00B8269F"/>
    <w:rsid w:val="00B85A1D"/>
    <w:rsid w:val="00B92034"/>
    <w:rsid w:val="00B93435"/>
    <w:rsid w:val="00B93F75"/>
    <w:rsid w:val="00B94A8F"/>
    <w:rsid w:val="00B96D54"/>
    <w:rsid w:val="00BA256F"/>
    <w:rsid w:val="00BA2A2B"/>
    <w:rsid w:val="00BA2F1C"/>
    <w:rsid w:val="00BA6D04"/>
    <w:rsid w:val="00BB0B82"/>
    <w:rsid w:val="00BB21AB"/>
    <w:rsid w:val="00BB2DFA"/>
    <w:rsid w:val="00BB3790"/>
    <w:rsid w:val="00BB55E1"/>
    <w:rsid w:val="00BB569B"/>
    <w:rsid w:val="00BB6EFE"/>
    <w:rsid w:val="00BC25B6"/>
    <w:rsid w:val="00BC2C45"/>
    <w:rsid w:val="00BC3AD3"/>
    <w:rsid w:val="00BC78A8"/>
    <w:rsid w:val="00BD032D"/>
    <w:rsid w:val="00BD1156"/>
    <w:rsid w:val="00BD2964"/>
    <w:rsid w:val="00BD6D95"/>
    <w:rsid w:val="00BD7CB1"/>
    <w:rsid w:val="00BE4A94"/>
    <w:rsid w:val="00BE79AF"/>
    <w:rsid w:val="00BF3009"/>
    <w:rsid w:val="00BF4066"/>
    <w:rsid w:val="00BF54B8"/>
    <w:rsid w:val="00BF54CC"/>
    <w:rsid w:val="00C00547"/>
    <w:rsid w:val="00C03CE3"/>
    <w:rsid w:val="00C04A65"/>
    <w:rsid w:val="00C04A98"/>
    <w:rsid w:val="00C1083A"/>
    <w:rsid w:val="00C10979"/>
    <w:rsid w:val="00C10FA8"/>
    <w:rsid w:val="00C15198"/>
    <w:rsid w:val="00C1631A"/>
    <w:rsid w:val="00C16D6B"/>
    <w:rsid w:val="00C21946"/>
    <w:rsid w:val="00C22B8C"/>
    <w:rsid w:val="00C30540"/>
    <w:rsid w:val="00C35409"/>
    <w:rsid w:val="00C35631"/>
    <w:rsid w:val="00C36B9F"/>
    <w:rsid w:val="00C36C66"/>
    <w:rsid w:val="00C373F9"/>
    <w:rsid w:val="00C4157F"/>
    <w:rsid w:val="00C419D4"/>
    <w:rsid w:val="00C4255C"/>
    <w:rsid w:val="00C43B4A"/>
    <w:rsid w:val="00C44E93"/>
    <w:rsid w:val="00C50407"/>
    <w:rsid w:val="00C519E6"/>
    <w:rsid w:val="00C533B6"/>
    <w:rsid w:val="00C629EE"/>
    <w:rsid w:val="00C64FA5"/>
    <w:rsid w:val="00C667AB"/>
    <w:rsid w:val="00C66DF7"/>
    <w:rsid w:val="00C72123"/>
    <w:rsid w:val="00C75D50"/>
    <w:rsid w:val="00C81C95"/>
    <w:rsid w:val="00C83100"/>
    <w:rsid w:val="00C84A12"/>
    <w:rsid w:val="00C925C0"/>
    <w:rsid w:val="00C95556"/>
    <w:rsid w:val="00CA2EF2"/>
    <w:rsid w:val="00CA3BBF"/>
    <w:rsid w:val="00CB2634"/>
    <w:rsid w:val="00CB50B8"/>
    <w:rsid w:val="00CB75F4"/>
    <w:rsid w:val="00CB7D5F"/>
    <w:rsid w:val="00CC0063"/>
    <w:rsid w:val="00CC159F"/>
    <w:rsid w:val="00CC5886"/>
    <w:rsid w:val="00CD50CC"/>
    <w:rsid w:val="00CD6072"/>
    <w:rsid w:val="00CD632B"/>
    <w:rsid w:val="00CD6694"/>
    <w:rsid w:val="00CE51C1"/>
    <w:rsid w:val="00CE53D7"/>
    <w:rsid w:val="00CF24A1"/>
    <w:rsid w:val="00CF3DC5"/>
    <w:rsid w:val="00CF5043"/>
    <w:rsid w:val="00D017E2"/>
    <w:rsid w:val="00D0409A"/>
    <w:rsid w:val="00D04BE1"/>
    <w:rsid w:val="00D05943"/>
    <w:rsid w:val="00D05AAE"/>
    <w:rsid w:val="00D06A1C"/>
    <w:rsid w:val="00D06D7E"/>
    <w:rsid w:val="00D16553"/>
    <w:rsid w:val="00D16D97"/>
    <w:rsid w:val="00D2237E"/>
    <w:rsid w:val="00D25130"/>
    <w:rsid w:val="00D27F42"/>
    <w:rsid w:val="00D30460"/>
    <w:rsid w:val="00D312F6"/>
    <w:rsid w:val="00D32C81"/>
    <w:rsid w:val="00D345CB"/>
    <w:rsid w:val="00D35DF1"/>
    <w:rsid w:val="00D362A6"/>
    <w:rsid w:val="00D40231"/>
    <w:rsid w:val="00D40B37"/>
    <w:rsid w:val="00D44F9B"/>
    <w:rsid w:val="00D47074"/>
    <w:rsid w:val="00D51C90"/>
    <w:rsid w:val="00D542DA"/>
    <w:rsid w:val="00D55BC8"/>
    <w:rsid w:val="00D562B6"/>
    <w:rsid w:val="00D606D2"/>
    <w:rsid w:val="00D61FE5"/>
    <w:rsid w:val="00D65176"/>
    <w:rsid w:val="00D709BD"/>
    <w:rsid w:val="00D7212A"/>
    <w:rsid w:val="00D7340E"/>
    <w:rsid w:val="00D737A6"/>
    <w:rsid w:val="00D757FF"/>
    <w:rsid w:val="00D75FD1"/>
    <w:rsid w:val="00D7677E"/>
    <w:rsid w:val="00D84713"/>
    <w:rsid w:val="00D84CEF"/>
    <w:rsid w:val="00D8520B"/>
    <w:rsid w:val="00D863AB"/>
    <w:rsid w:val="00D873A1"/>
    <w:rsid w:val="00D91834"/>
    <w:rsid w:val="00D94D5A"/>
    <w:rsid w:val="00D95804"/>
    <w:rsid w:val="00D966B4"/>
    <w:rsid w:val="00DA056F"/>
    <w:rsid w:val="00DA2223"/>
    <w:rsid w:val="00DA51F5"/>
    <w:rsid w:val="00DA65B5"/>
    <w:rsid w:val="00DA78E2"/>
    <w:rsid w:val="00DB1CF3"/>
    <w:rsid w:val="00DC2FC6"/>
    <w:rsid w:val="00DC35E1"/>
    <w:rsid w:val="00DD45A2"/>
    <w:rsid w:val="00DD4B82"/>
    <w:rsid w:val="00DD6677"/>
    <w:rsid w:val="00DD6964"/>
    <w:rsid w:val="00DE246C"/>
    <w:rsid w:val="00DE2C39"/>
    <w:rsid w:val="00DE5E18"/>
    <w:rsid w:val="00DE6D14"/>
    <w:rsid w:val="00DF6485"/>
    <w:rsid w:val="00DF6F38"/>
    <w:rsid w:val="00E01315"/>
    <w:rsid w:val="00E013C5"/>
    <w:rsid w:val="00E01C01"/>
    <w:rsid w:val="00E054EA"/>
    <w:rsid w:val="00E1556F"/>
    <w:rsid w:val="00E15704"/>
    <w:rsid w:val="00E17A87"/>
    <w:rsid w:val="00E2086F"/>
    <w:rsid w:val="00E3264B"/>
    <w:rsid w:val="00E326E3"/>
    <w:rsid w:val="00E3419E"/>
    <w:rsid w:val="00E3441A"/>
    <w:rsid w:val="00E3545A"/>
    <w:rsid w:val="00E37BD9"/>
    <w:rsid w:val="00E43144"/>
    <w:rsid w:val="00E44DDD"/>
    <w:rsid w:val="00E47B1A"/>
    <w:rsid w:val="00E61AD8"/>
    <w:rsid w:val="00E626F1"/>
    <w:rsid w:val="00E631B1"/>
    <w:rsid w:val="00E70A95"/>
    <w:rsid w:val="00E70BD4"/>
    <w:rsid w:val="00E748E4"/>
    <w:rsid w:val="00E75242"/>
    <w:rsid w:val="00E809EF"/>
    <w:rsid w:val="00E840BF"/>
    <w:rsid w:val="00E84FCF"/>
    <w:rsid w:val="00E85657"/>
    <w:rsid w:val="00E859B1"/>
    <w:rsid w:val="00E85DB3"/>
    <w:rsid w:val="00E93CF6"/>
    <w:rsid w:val="00E95A22"/>
    <w:rsid w:val="00E97FE3"/>
    <w:rsid w:val="00EA4219"/>
    <w:rsid w:val="00EA56F7"/>
    <w:rsid w:val="00EA74F2"/>
    <w:rsid w:val="00EB0110"/>
    <w:rsid w:val="00EB0C8F"/>
    <w:rsid w:val="00EB248F"/>
    <w:rsid w:val="00EB4F88"/>
    <w:rsid w:val="00EB5498"/>
    <w:rsid w:val="00EB5DDD"/>
    <w:rsid w:val="00EB5F93"/>
    <w:rsid w:val="00EC0568"/>
    <w:rsid w:val="00EC08C3"/>
    <w:rsid w:val="00EC23FF"/>
    <w:rsid w:val="00EC24A8"/>
    <w:rsid w:val="00EC2CAA"/>
    <w:rsid w:val="00EC3FCF"/>
    <w:rsid w:val="00EC56FA"/>
    <w:rsid w:val="00EC62E4"/>
    <w:rsid w:val="00EC6DD8"/>
    <w:rsid w:val="00ED03B3"/>
    <w:rsid w:val="00ED51E6"/>
    <w:rsid w:val="00ED5DAF"/>
    <w:rsid w:val="00EE0754"/>
    <w:rsid w:val="00EE28E4"/>
    <w:rsid w:val="00EE418B"/>
    <w:rsid w:val="00EE4E78"/>
    <w:rsid w:val="00EE65F7"/>
    <w:rsid w:val="00EE721A"/>
    <w:rsid w:val="00EE7AE8"/>
    <w:rsid w:val="00EF08B7"/>
    <w:rsid w:val="00EF5801"/>
    <w:rsid w:val="00EF6BEB"/>
    <w:rsid w:val="00F0272E"/>
    <w:rsid w:val="00F02C42"/>
    <w:rsid w:val="00F05C8B"/>
    <w:rsid w:val="00F07780"/>
    <w:rsid w:val="00F11D14"/>
    <w:rsid w:val="00F1377D"/>
    <w:rsid w:val="00F15D40"/>
    <w:rsid w:val="00F16EB3"/>
    <w:rsid w:val="00F20D36"/>
    <w:rsid w:val="00F2438B"/>
    <w:rsid w:val="00F2644C"/>
    <w:rsid w:val="00F348D5"/>
    <w:rsid w:val="00F3606B"/>
    <w:rsid w:val="00F41C32"/>
    <w:rsid w:val="00F4403A"/>
    <w:rsid w:val="00F44D8F"/>
    <w:rsid w:val="00F55A66"/>
    <w:rsid w:val="00F63215"/>
    <w:rsid w:val="00F6422A"/>
    <w:rsid w:val="00F64B03"/>
    <w:rsid w:val="00F65D3B"/>
    <w:rsid w:val="00F725A5"/>
    <w:rsid w:val="00F72790"/>
    <w:rsid w:val="00F737CE"/>
    <w:rsid w:val="00F7417E"/>
    <w:rsid w:val="00F77F1D"/>
    <w:rsid w:val="00F81C33"/>
    <w:rsid w:val="00F83251"/>
    <w:rsid w:val="00F8592D"/>
    <w:rsid w:val="00F86E7C"/>
    <w:rsid w:val="00F87472"/>
    <w:rsid w:val="00F917A5"/>
    <w:rsid w:val="00F938A1"/>
    <w:rsid w:val="00F97613"/>
    <w:rsid w:val="00FA3248"/>
    <w:rsid w:val="00FA3853"/>
    <w:rsid w:val="00FA387B"/>
    <w:rsid w:val="00FA64FC"/>
    <w:rsid w:val="00FA6E69"/>
    <w:rsid w:val="00FB248C"/>
    <w:rsid w:val="00FB52C1"/>
    <w:rsid w:val="00FC0F46"/>
    <w:rsid w:val="00FC1F47"/>
    <w:rsid w:val="00FC287B"/>
    <w:rsid w:val="00FC346E"/>
    <w:rsid w:val="00FC3A80"/>
    <w:rsid w:val="00FC4C08"/>
    <w:rsid w:val="00FD1DAB"/>
    <w:rsid w:val="00FD455A"/>
    <w:rsid w:val="00FD5E14"/>
    <w:rsid w:val="00FD73B1"/>
    <w:rsid w:val="00FD777E"/>
    <w:rsid w:val="00FD7910"/>
    <w:rsid w:val="00FE1DEA"/>
    <w:rsid w:val="00FE1ECE"/>
    <w:rsid w:val="00FE59D1"/>
    <w:rsid w:val="00FE7E54"/>
    <w:rsid w:val="00FF0966"/>
    <w:rsid w:val="00FF4178"/>
    <w:rsid w:val="00FF5E59"/>
    <w:rsid w:val="00FF5E96"/>
    <w:rsid w:val="00FF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F3996"/>
  <w15:chartTrackingRefBased/>
  <w15:docId w15:val="{A4F7FA56-3C55-1E41-A176-F6C30AB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
    <w:basedOn w:val="Normal"/>
    <w:link w:val="ListParagraphChar"/>
    <w:uiPriority w:val="34"/>
    <w:qFormat/>
    <w:rsid w:val="00653612"/>
    <w:pPr>
      <w:ind w:left="720"/>
    </w:pPr>
    <w:rPr>
      <w:rFonts w:ascii="Calibri" w:hAnsi="Calibri"/>
      <w:szCs w:val="22"/>
    </w:rPr>
  </w:style>
  <w:style w:type="paragraph" w:customStyle="1" w:styleId="Char">
    <w:name w:val="Char"/>
    <w:basedOn w:val="Normal"/>
    <w:rsid w:val="00C22B8C"/>
    <w:pPr>
      <w:spacing w:after="160" w:line="240" w:lineRule="exact"/>
    </w:pPr>
    <w:rPr>
      <w:rFonts w:ascii="Tahoma" w:hAnsi="Tahoma" w:cs="Tahoma"/>
      <w:sz w:val="20"/>
      <w:lang w:val="en-US"/>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7D418E"/>
    <w:rPr>
      <w:rFonts w:ascii="Calibri" w:hAnsi="Calibri"/>
      <w:sz w:val="22"/>
      <w:szCs w:val="22"/>
      <w:lang w:eastAsia="en-US"/>
    </w:rPr>
  </w:style>
  <w:style w:type="character" w:customStyle="1" w:styleId="FooterChar">
    <w:name w:val="Footer Char"/>
    <w:link w:val="Footer"/>
    <w:uiPriority w:val="99"/>
    <w:rsid w:val="00E626F1"/>
    <w:rPr>
      <w:rFonts w:ascii="TradeGothic" w:hAnsi="TradeGothic"/>
      <w:sz w:val="22"/>
      <w:lang w:eastAsia="en-US"/>
    </w:rPr>
  </w:style>
  <w:style w:type="character" w:styleId="CommentReference">
    <w:name w:val="annotation reference"/>
    <w:uiPriority w:val="99"/>
    <w:rsid w:val="00633D46"/>
    <w:rPr>
      <w:sz w:val="16"/>
      <w:szCs w:val="16"/>
    </w:rPr>
  </w:style>
  <w:style w:type="paragraph" w:styleId="CommentText">
    <w:name w:val="annotation text"/>
    <w:basedOn w:val="Normal"/>
    <w:link w:val="CommentTextChar"/>
    <w:uiPriority w:val="99"/>
    <w:rsid w:val="00633D46"/>
    <w:rPr>
      <w:sz w:val="20"/>
    </w:rPr>
  </w:style>
  <w:style w:type="character" w:customStyle="1" w:styleId="CommentTextChar">
    <w:name w:val="Comment Text Char"/>
    <w:link w:val="CommentText"/>
    <w:uiPriority w:val="99"/>
    <w:rsid w:val="00633D46"/>
    <w:rPr>
      <w:rFonts w:ascii="TradeGothic" w:hAnsi="TradeGothic"/>
      <w:lang w:eastAsia="en-US"/>
    </w:rPr>
  </w:style>
  <w:style w:type="paragraph" w:styleId="CommentSubject">
    <w:name w:val="annotation subject"/>
    <w:basedOn w:val="CommentText"/>
    <w:next w:val="CommentText"/>
    <w:link w:val="CommentSubjectChar"/>
    <w:rsid w:val="00633D46"/>
    <w:rPr>
      <w:b/>
      <w:bCs/>
    </w:rPr>
  </w:style>
  <w:style w:type="character" w:customStyle="1" w:styleId="CommentSubjectChar">
    <w:name w:val="Comment Subject Char"/>
    <w:link w:val="CommentSubject"/>
    <w:rsid w:val="00633D46"/>
    <w:rPr>
      <w:rFonts w:ascii="TradeGothic" w:hAnsi="TradeGothic"/>
      <w:b/>
      <w:bCs/>
      <w:lang w:eastAsia="en-US"/>
    </w:rPr>
  </w:style>
  <w:style w:type="paragraph" w:styleId="BalloonText">
    <w:name w:val="Balloon Text"/>
    <w:basedOn w:val="Normal"/>
    <w:link w:val="BalloonTextChar"/>
    <w:rsid w:val="00633D46"/>
    <w:rPr>
      <w:rFonts w:ascii="Tahoma" w:hAnsi="Tahoma" w:cs="Tahoma"/>
      <w:sz w:val="16"/>
      <w:szCs w:val="16"/>
    </w:rPr>
  </w:style>
  <w:style w:type="character" w:customStyle="1" w:styleId="BalloonTextChar">
    <w:name w:val="Balloon Text Char"/>
    <w:link w:val="BalloonText"/>
    <w:rsid w:val="00633D46"/>
    <w:rPr>
      <w:rFonts w:ascii="Tahoma" w:hAnsi="Tahoma" w:cs="Tahoma"/>
      <w:sz w:val="16"/>
      <w:szCs w:val="16"/>
      <w:lang w:eastAsia="en-US"/>
    </w:rPr>
  </w:style>
  <w:style w:type="character" w:customStyle="1" w:styleId="Heading3Char">
    <w:name w:val="Heading 3 Char"/>
    <w:link w:val="Heading3"/>
    <w:rsid w:val="003C6125"/>
    <w:rPr>
      <w:rFonts w:ascii="Arial" w:hAnsi="Arial" w:cs="Arial"/>
      <w:b/>
      <w:bCs/>
      <w:sz w:val="26"/>
      <w:szCs w:val="26"/>
      <w:lang w:eastAsia="en-US"/>
    </w:rPr>
  </w:style>
  <w:style w:type="paragraph" w:customStyle="1" w:styleId="Default">
    <w:name w:val="Default"/>
    <w:rsid w:val="0008461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0FA8"/>
    <w:rPr>
      <w:rFonts w:ascii="TradeGothic" w:hAnsi="TradeGothic"/>
      <w:sz w:val="22"/>
      <w:lang w:eastAsia="en-US"/>
    </w:rPr>
  </w:style>
  <w:style w:type="character" w:customStyle="1" w:styleId="refnoconfirmation1">
    <w:name w:val="refnoconfirmation1"/>
    <w:rsid w:val="00183A5D"/>
    <w:rPr>
      <w:sz w:val="43"/>
      <w:szCs w:val="43"/>
    </w:rPr>
  </w:style>
  <w:style w:type="table" w:styleId="TableGrid">
    <w:name w:val="Table Grid"/>
    <w:basedOn w:val="TableNormal"/>
    <w:rsid w:val="0056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4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6086">
      <w:bodyDiv w:val="1"/>
      <w:marLeft w:val="0"/>
      <w:marRight w:val="0"/>
      <w:marTop w:val="0"/>
      <w:marBottom w:val="0"/>
      <w:divBdr>
        <w:top w:val="none" w:sz="0" w:space="0" w:color="auto"/>
        <w:left w:val="none" w:sz="0" w:space="0" w:color="auto"/>
        <w:bottom w:val="none" w:sz="0" w:space="0" w:color="auto"/>
        <w:right w:val="none" w:sz="0" w:space="0" w:color="auto"/>
      </w:divBdr>
    </w:div>
    <w:div w:id="1204755674">
      <w:bodyDiv w:val="1"/>
      <w:marLeft w:val="0"/>
      <w:marRight w:val="0"/>
      <w:marTop w:val="0"/>
      <w:marBottom w:val="0"/>
      <w:divBdr>
        <w:top w:val="none" w:sz="0" w:space="0" w:color="auto"/>
        <w:left w:val="none" w:sz="0" w:space="0" w:color="auto"/>
        <w:bottom w:val="none" w:sz="0" w:space="0" w:color="auto"/>
        <w:right w:val="none" w:sz="0" w:space="0" w:color="auto"/>
      </w:divBdr>
    </w:div>
    <w:div w:id="1491870389">
      <w:bodyDiv w:val="1"/>
      <w:marLeft w:val="0"/>
      <w:marRight w:val="0"/>
      <w:marTop w:val="0"/>
      <w:marBottom w:val="0"/>
      <w:divBdr>
        <w:top w:val="none" w:sz="0" w:space="0" w:color="auto"/>
        <w:left w:val="none" w:sz="0" w:space="0" w:color="auto"/>
        <w:bottom w:val="none" w:sz="0" w:space="0" w:color="auto"/>
        <w:right w:val="none" w:sz="0" w:space="0" w:color="auto"/>
      </w:divBdr>
    </w:div>
    <w:div w:id="1492209750">
      <w:bodyDiv w:val="1"/>
      <w:marLeft w:val="0"/>
      <w:marRight w:val="0"/>
      <w:marTop w:val="0"/>
      <w:marBottom w:val="0"/>
      <w:divBdr>
        <w:top w:val="none" w:sz="0" w:space="0" w:color="auto"/>
        <w:left w:val="none" w:sz="0" w:space="0" w:color="auto"/>
        <w:bottom w:val="none" w:sz="0" w:space="0" w:color="auto"/>
        <w:right w:val="none" w:sz="0" w:space="0" w:color="auto"/>
      </w:divBdr>
      <w:divsChild>
        <w:div w:id="259028182">
          <w:marLeft w:val="0"/>
          <w:marRight w:val="0"/>
          <w:marTop w:val="0"/>
          <w:marBottom w:val="0"/>
          <w:divBdr>
            <w:top w:val="none" w:sz="0" w:space="0" w:color="auto"/>
            <w:left w:val="none" w:sz="0" w:space="0" w:color="auto"/>
            <w:bottom w:val="none" w:sz="0" w:space="0" w:color="auto"/>
            <w:right w:val="none" w:sz="0" w:space="0" w:color="auto"/>
          </w:divBdr>
          <w:divsChild>
            <w:div w:id="1550342130">
              <w:marLeft w:val="0"/>
              <w:marRight w:val="0"/>
              <w:marTop w:val="0"/>
              <w:marBottom w:val="0"/>
              <w:divBdr>
                <w:top w:val="none" w:sz="0" w:space="0" w:color="auto"/>
                <w:left w:val="none" w:sz="0" w:space="0" w:color="auto"/>
                <w:bottom w:val="none" w:sz="0" w:space="0" w:color="auto"/>
                <w:right w:val="none" w:sz="0" w:space="0" w:color="auto"/>
              </w:divBdr>
              <w:divsChild>
                <w:div w:id="1076586659">
                  <w:marLeft w:val="0"/>
                  <w:marRight w:val="0"/>
                  <w:marTop w:val="0"/>
                  <w:marBottom w:val="0"/>
                  <w:divBdr>
                    <w:top w:val="none" w:sz="0" w:space="0" w:color="auto"/>
                    <w:left w:val="none" w:sz="0" w:space="0" w:color="auto"/>
                    <w:bottom w:val="none" w:sz="0" w:space="0" w:color="auto"/>
                    <w:right w:val="none" w:sz="0" w:space="0" w:color="auto"/>
                  </w:divBdr>
                  <w:divsChild>
                    <w:div w:id="916983914">
                      <w:marLeft w:val="0"/>
                      <w:marRight w:val="0"/>
                      <w:marTop w:val="0"/>
                      <w:marBottom w:val="0"/>
                      <w:divBdr>
                        <w:top w:val="none" w:sz="0" w:space="0" w:color="auto"/>
                        <w:left w:val="none" w:sz="0" w:space="0" w:color="auto"/>
                        <w:bottom w:val="none" w:sz="0" w:space="0" w:color="auto"/>
                        <w:right w:val="none" w:sz="0" w:space="0" w:color="auto"/>
                      </w:divBdr>
                      <w:divsChild>
                        <w:div w:id="1941790444">
                          <w:marLeft w:val="0"/>
                          <w:marRight w:val="0"/>
                          <w:marTop w:val="0"/>
                          <w:marBottom w:val="0"/>
                          <w:divBdr>
                            <w:top w:val="none" w:sz="0" w:space="0" w:color="auto"/>
                            <w:left w:val="none" w:sz="0" w:space="0" w:color="auto"/>
                            <w:bottom w:val="none" w:sz="0" w:space="0" w:color="auto"/>
                            <w:right w:val="none" w:sz="0" w:space="0" w:color="auto"/>
                          </w:divBdr>
                          <w:divsChild>
                            <w:div w:id="2038038644">
                              <w:marLeft w:val="2070"/>
                              <w:marRight w:val="3960"/>
                              <w:marTop w:val="0"/>
                              <w:marBottom w:val="0"/>
                              <w:divBdr>
                                <w:top w:val="none" w:sz="0" w:space="0" w:color="auto"/>
                                <w:left w:val="none" w:sz="0" w:space="0" w:color="auto"/>
                                <w:bottom w:val="none" w:sz="0" w:space="0" w:color="auto"/>
                                <w:right w:val="none" w:sz="0" w:space="0" w:color="auto"/>
                              </w:divBdr>
                              <w:divsChild>
                                <w:div w:id="2051567847">
                                  <w:marLeft w:val="0"/>
                                  <w:marRight w:val="0"/>
                                  <w:marTop w:val="0"/>
                                  <w:marBottom w:val="0"/>
                                  <w:divBdr>
                                    <w:top w:val="none" w:sz="0" w:space="0" w:color="auto"/>
                                    <w:left w:val="none" w:sz="0" w:space="0" w:color="auto"/>
                                    <w:bottom w:val="none" w:sz="0" w:space="0" w:color="auto"/>
                                    <w:right w:val="none" w:sz="0" w:space="0" w:color="auto"/>
                                  </w:divBdr>
                                  <w:divsChild>
                                    <w:div w:id="460344869">
                                      <w:marLeft w:val="0"/>
                                      <w:marRight w:val="0"/>
                                      <w:marTop w:val="0"/>
                                      <w:marBottom w:val="0"/>
                                      <w:divBdr>
                                        <w:top w:val="none" w:sz="0" w:space="0" w:color="auto"/>
                                        <w:left w:val="none" w:sz="0" w:space="0" w:color="auto"/>
                                        <w:bottom w:val="none" w:sz="0" w:space="0" w:color="auto"/>
                                        <w:right w:val="none" w:sz="0" w:space="0" w:color="auto"/>
                                      </w:divBdr>
                                      <w:divsChild>
                                        <w:div w:id="972294329">
                                          <w:marLeft w:val="0"/>
                                          <w:marRight w:val="0"/>
                                          <w:marTop w:val="0"/>
                                          <w:marBottom w:val="0"/>
                                          <w:divBdr>
                                            <w:top w:val="none" w:sz="0" w:space="0" w:color="auto"/>
                                            <w:left w:val="none" w:sz="0" w:space="0" w:color="auto"/>
                                            <w:bottom w:val="none" w:sz="0" w:space="0" w:color="auto"/>
                                            <w:right w:val="none" w:sz="0" w:space="0" w:color="auto"/>
                                          </w:divBdr>
                                          <w:divsChild>
                                            <w:div w:id="1843353114">
                                              <w:marLeft w:val="0"/>
                                              <w:marRight w:val="0"/>
                                              <w:marTop w:val="90"/>
                                              <w:marBottom w:val="0"/>
                                              <w:divBdr>
                                                <w:top w:val="none" w:sz="0" w:space="0" w:color="auto"/>
                                                <w:left w:val="none" w:sz="0" w:space="0" w:color="auto"/>
                                                <w:bottom w:val="none" w:sz="0" w:space="0" w:color="auto"/>
                                                <w:right w:val="none" w:sz="0" w:space="0" w:color="auto"/>
                                              </w:divBdr>
                                              <w:divsChild>
                                                <w:div w:id="1589272102">
                                                  <w:marLeft w:val="0"/>
                                                  <w:marRight w:val="0"/>
                                                  <w:marTop w:val="0"/>
                                                  <w:marBottom w:val="0"/>
                                                  <w:divBdr>
                                                    <w:top w:val="none" w:sz="0" w:space="0" w:color="auto"/>
                                                    <w:left w:val="none" w:sz="0" w:space="0" w:color="auto"/>
                                                    <w:bottom w:val="none" w:sz="0" w:space="0" w:color="auto"/>
                                                    <w:right w:val="none" w:sz="0" w:space="0" w:color="auto"/>
                                                  </w:divBdr>
                                                  <w:divsChild>
                                                    <w:div w:id="1939830985">
                                                      <w:marLeft w:val="0"/>
                                                      <w:marRight w:val="0"/>
                                                      <w:marTop w:val="0"/>
                                                      <w:marBottom w:val="0"/>
                                                      <w:divBdr>
                                                        <w:top w:val="none" w:sz="0" w:space="0" w:color="auto"/>
                                                        <w:left w:val="none" w:sz="0" w:space="0" w:color="auto"/>
                                                        <w:bottom w:val="none" w:sz="0" w:space="0" w:color="auto"/>
                                                        <w:right w:val="none" w:sz="0" w:space="0" w:color="auto"/>
                                                      </w:divBdr>
                                                      <w:divsChild>
                                                        <w:div w:id="1821800086">
                                                          <w:marLeft w:val="0"/>
                                                          <w:marRight w:val="0"/>
                                                          <w:marTop w:val="0"/>
                                                          <w:marBottom w:val="450"/>
                                                          <w:divBdr>
                                                            <w:top w:val="none" w:sz="0" w:space="0" w:color="auto"/>
                                                            <w:left w:val="none" w:sz="0" w:space="0" w:color="auto"/>
                                                            <w:bottom w:val="none" w:sz="0" w:space="0" w:color="auto"/>
                                                            <w:right w:val="none" w:sz="0" w:space="0" w:color="auto"/>
                                                          </w:divBdr>
                                                          <w:divsChild>
                                                            <w:div w:id="1524056335">
                                                              <w:marLeft w:val="0"/>
                                                              <w:marRight w:val="0"/>
                                                              <w:marTop w:val="0"/>
                                                              <w:marBottom w:val="0"/>
                                                              <w:divBdr>
                                                                <w:top w:val="none" w:sz="0" w:space="0" w:color="auto"/>
                                                                <w:left w:val="none" w:sz="0" w:space="0" w:color="auto"/>
                                                                <w:bottom w:val="none" w:sz="0" w:space="0" w:color="auto"/>
                                                                <w:right w:val="none" w:sz="0" w:space="0" w:color="auto"/>
                                                              </w:divBdr>
                                                              <w:divsChild>
                                                                <w:div w:id="898399430">
                                                                  <w:marLeft w:val="0"/>
                                                                  <w:marRight w:val="0"/>
                                                                  <w:marTop w:val="0"/>
                                                                  <w:marBottom w:val="0"/>
                                                                  <w:divBdr>
                                                                    <w:top w:val="none" w:sz="0" w:space="0" w:color="auto"/>
                                                                    <w:left w:val="none" w:sz="0" w:space="0" w:color="auto"/>
                                                                    <w:bottom w:val="none" w:sz="0" w:space="0" w:color="auto"/>
                                                                    <w:right w:val="none" w:sz="0" w:space="0" w:color="auto"/>
                                                                  </w:divBdr>
                                                                  <w:divsChild>
                                                                    <w:div w:id="1520310432">
                                                                      <w:marLeft w:val="0"/>
                                                                      <w:marRight w:val="0"/>
                                                                      <w:marTop w:val="0"/>
                                                                      <w:marBottom w:val="0"/>
                                                                      <w:divBdr>
                                                                        <w:top w:val="none" w:sz="0" w:space="0" w:color="auto"/>
                                                                        <w:left w:val="none" w:sz="0" w:space="0" w:color="auto"/>
                                                                        <w:bottom w:val="none" w:sz="0" w:space="0" w:color="auto"/>
                                                                        <w:right w:val="none" w:sz="0" w:space="0" w:color="auto"/>
                                                                      </w:divBdr>
                                                                      <w:divsChild>
                                                                        <w:div w:id="493110869">
                                                                          <w:marLeft w:val="0"/>
                                                                          <w:marRight w:val="0"/>
                                                                          <w:marTop w:val="0"/>
                                                                          <w:marBottom w:val="0"/>
                                                                          <w:divBdr>
                                                                            <w:top w:val="none" w:sz="0" w:space="0" w:color="auto"/>
                                                                            <w:left w:val="none" w:sz="0" w:space="0" w:color="auto"/>
                                                                            <w:bottom w:val="none" w:sz="0" w:space="0" w:color="auto"/>
                                                                            <w:right w:val="none" w:sz="0" w:space="0" w:color="auto"/>
                                                                          </w:divBdr>
                                                                          <w:divsChild>
                                                                            <w:div w:id="1250966459">
                                                                              <w:marLeft w:val="0"/>
                                                                              <w:marRight w:val="0"/>
                                                                              <w:marTop w:val="0"/>
                                                                              <w:marBottom w:val="0"/>
                                                                              <w:divBdr>
                                                                                <w:top w:val="none" w:sz="0" w:space="0" w:color="auto"/>
                                                                                <w:left w:val="none" w:sz="0" w:space="0" w:color="auto"/>
                                                                                <w:bottom w:val="none" w:sz="0" w:space="0" w:color="auto"/>
                                                                                <w:right w:val="none" w:sz="0" w:space="0" w:color="auto"/>
                                                                              </w:divBdr>
                                                                              <w:divsChild>
                                                                                <w:div w:id="1931622583">
                                                                                  <w:marLeft w:val="0"/>
                                                                                  <w:marRight w:val="0"/>
                                                                                  <w:marTop w:val="0"/>
                                                                                  <w:marBottom w:val="0"/>
                                                                                  <w:divBdr>
                                                                                    <w:top w:val="none" w:sz="0" w:space="0" w:color="auto"/>
                                                                                    <w:left w:val="none" w:sz="0" w:space="0" w:color="auto"/>
                                                                                    <w:bottom w:val="none" w:sz="0" w:space="0" w:color="auto"/>
                                                                                    <w:right w:val="none" w:sz="0" w:space="0" w:color="auto"/>
                                                                                  </w:divBdr>
                                                                                  <w:divsChild>
                                                                                    <w:div w:id="1392386840">
                                                                                      <w:marLeft w:val="0"/>
                                                                                      <w:marRight w:val="0"/>
                                                                                      <w:marTop w:val="0"/>
                                                                                      <w:marBottom w:val="0"/>
                                                                                      <w:divBdr>
                                                                                        <w:top w:val="none" w:sz="0" w:space="0" w:color="auto"/>
                                                                                        <w:left w:val="none" w:sz="0" w:space="0" w:color="auto"/>
                                                                                        <w:bottom w:val="none" w:sz="0" w:space="0" w:color="auto"/>
                                                                                        <w:right w:val="none" w:sz="0" w:space="0" w:color="auto"/>
                                                                                      </w:divBdr>
                                                                                      <w:divsChild>
                                                                                        <w:div w:id="4500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958207">
      <w:bodyDiv w:val="1"/>
      <w:marLeft w:val="0"/>
      <w:marRight w:val="0"/>
      <w:marTop w:val="0"/>
      <w:marBottom w:val="0"/>
      <w:divBdr>
        <w:top w:val="none" w:sz="0" w:space="0" w:color="auto"/>
        <w:left w:val="none" w:sz="0" w:space="0" w:color="auto"/>
        <w:bottom w:val="none" w:sz="0" w:space="0" w:color="auto"/>
        <w:right w:val="none" w:sz="0" w:space="0" w:color="auto"/>
      </w:divBdr>
    </w:div>
    <w:div w:id="20496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local-taxes-second-homes-and-self-catering-accommod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gov.wales/written-statement-classification-self-catering-accommodation-local-tax-purpo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v.wales/council-tax-premiums-long-term-empty-and-second-homes-guidance-local-authoriti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wales/draft-council-tax-exceptions-higher-amounts-wales-amendment-regulations-2023"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welsh-government-announces-three-pronged-approach-address-second-homes-crisi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28D5F22F3C9499FAE85CC779B1B03" ma:contentTypeVersion="12" ma:contentTypeDescription="Create a new document." ma:contentTypeScope="" ma:versionID="8e145ab18329055b4cc909f19a737896">
  <xsd:schema xmlns:xsd="http://www.w3.org/2001/XMLSchema" xmlns:xs="http://www.w3.org/2001/XMLSchema" xmlns:p="http://schemas.microsoft.com/office/2006/metadata/properties" xmlns:ns3="b04c1acd-daa7-414d-848b-b7e9d95ff698" xmlns:ns4="aa77fa82-f32f-4a3e-b24a-3bfd3e5bd3e6" targetNamespace="http://schemas.microsoft.com/office/2006/metadata/properties" ma:root="true" ma:fieldsID="d210b1490f398bbecc9fe2b97b25fa55" ns3:_="" ns4:_="">
    <xsd:import namespace="b04c1acd-daa7-414d-848b-b7e9d95ff698"/>
    <xsd:import namespace="aa77fa82-f32f-4a3e-b24a-3bfd3e5bd3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c1acd-daa7-414d-848b-b7e9d95ff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7fa82-f32f-4a3e-b24a-3bfd3e5bd3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FF3C5B18883D4E21973B57C2EEED7FD1" version="1.0.0">
  <systemFields>
    <field name="Objective-Id">
      <value order="0">A42138815</value>
    </field>
    <field name="Objective-Title">
      <value order="0">MA-RE-2955-22 - Exception to council tax premiums and guidance - Consultations - Doc 5 - Draft WMS (ENG)</value>
    </field>
    <field name="Objective-Description">
      <value order="0"/>
    </field>
    <field name="Objective-CreationStamp">
      <value order="0">2022-09-14T16:36:30Z</value>
    </field>
    <field name="Objective-IsApproved">
      <value order="0">false</value>
    </field>
    <field name="Objective-IsPublished">
      <value order="0">true</value>
    </field>
    <field name="Objective-DatePublished">
      <value order="0">2022-11-11T09:41:57Z</value>
    </field>
    <field name="Objective-ModificationStamp">
      <value order="0">2022-11-11T09:41:57Z</value>
    </field>
    <field name="Objective-Owner">
      <value order="0">Manning, Sarah (CRLG - Local Government - Council Tax Policy)</value>
    </field>
    <field name="Objective-Path">
      <value order="0">Objective Global Folder:#Business File Plan:WG Organisational Groups:NEW - Post April 2022 - Covid Recovery &amp; Local Government:Covid Recovery &amp; Local Government (CRLG) - Local Government - Finance Policy &amp; Sustainability:1 - Save:Government Business:Rebecca Evans MS - Minister for Finance and Local Government - Local Government Department - 2022:Rebecca Evans - Minister for Finance and Local Government - Ministerial Advice - Local Government Department - 2022:LGFR - MA-RE-2955-22 - Exception to council tax premium - consultations</value>
    </field>
    <field name="Objective-Parent">
      <value order="0">LGFR - MA-RE-2955-22 - Exception to council tax premium - consultations</value>
    </field>
    <field name="Objective-State">
      <value order="0">Published</value>
    </field>
    <field name="Objective-VersionId">
      <value order="0">vA81876760</value>
    </field>
    <field name="Objective-Version">
      <value order="0">11.0</value>
    </field>
    <field name="Objective-VersionNumber">
      <value order="0">12</value>
    </field>
    <field name="Objective-VersionComment">
      <value order="0"/>
    </field>
    <field name="Objective-FileNumber">
      <value order="0">qA1505026</value>
    </field>
    <field name="Objective-Classification">
      <value order="0">Official</value>
    </field>
    <field name="Objective-Caveats">
      <value order="0"/>
    </field>
  </systemFields>
  <catalogues>
    <catalogue name="Document Type Catalogue" type="type" ori="id:cA14">
      <field name="Objective-Date Acquired">
        <value order="0">2022-09-14T00:00:00Z</value>
      </field>
      <field name="Objective-Official Transl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CEF45-EDA4-4989-834C-020F2F4E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c1acd-daa7-414d-848b-b7e9d95ff698"/>
    <ds:schemaRef ds:uri="aa77fa82-f32f-4a3e-b24a-3bfd3e5bd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07A9D-134C-4D28-9292-3E6604E17549}">
  <ds:schemaRefs>
    <ds:schemaRef ds:uri="http://schemas.microsoft.com/sharepoint/v3/contenttype/forms"/>
  </ds:schemaRefs>
</ds:datastoreItem>
</file>

<file path=customXml/itemProps3.xml><?xml version="1.0" encoding="utf-8"?>
<ds:datastoreItem xmlns:ds="http://schemas.openxmlformats.org/officeDocument/2006/customXml" ds:itemID="{A97610BA-99D7-4715-A2CC-60EFC263073B}">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B83384C3-71BE-45D8-BD32-6360D223EC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Oxenham, James (OFM - Cabinet Division)</cp:lastModifiedBy>
  <cp:revision>5</cp:revision>
  <cp:lastPrinted>2019-03-11T16:26:00Z</cp:lastPrinted>
  <dcterms:created xsi:type="dcterms:W3CDTF">2022-11-11T10:33:00Z</dcterms:created>
  <dcterms:modified xsi:type="dcterms:W3CDTF">2022-11-11T10:55:00Z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A42138815</vt:lpwstr>
  </property>
  <property fmtid="{D5CDD505-2E9C-101B-9397-08002B2CF9AE}" pid="4" name="Objective-Title">
    <vt:lpwstr>MA-RE-2955-22 - Exception to council tax premiums and guidance - Consultations - Doc 5 - Draft WMS (ENG)</vt:lpwstr>
  </property>
  <property fmtid="{D5CDD505-2E9C-101B-9397-08002B2CF9AE}" pid="5" name="Objective-Comment">
    <vt:lpwstr/>
  </property>
  <property fmtid="{D5CDD505-2E9C-101B-9397-08002B2CF9AE}" pid="6" name="Objective-CreationStamp">
    <vt:filetime>2022-09-14T16:36:38Z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2022-11-11T09:41:57Z</vt:filetime>
  </property>
  <property fmtid="{D5CDD505-2E9C-101B-9397-08002B2CF9AE}" pid="10" name="Objective-ModificationStamp">
    <vt:filetime>2022-11-11T09:41:57Z</vt:filetime>
  </property>
  <property fmtid="{D5CDD505-2E9C-101B-9397-08002B2CF9AE}" pid="11" name="Objective-Owner">
    <vt:lpwstr>Manning, Sarah (CRLG - Local Government - Council Tax Policy)</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Save:Government Business:Rebecca Evans MS - Minister for Finance and Local Government - Local Government Department - 2022:Rebecca Evans - Minister for Finance and Local Government - Ministerial Advice - Local Government Department - 2022:LGFR - MA-RE-2955-22 - Exception to council tax premium - consultations:</vt:lpwstr>
  </property>
  <property fmtid="{D5CDD505-2E9C-101B-9397-08002B2CF9AE}" pid="13" name="Objective-Parent">
    <vt:lpwstr>LGFR - MA-RE-2955-22 - Exception to council tax premium - consultations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2019-06-03T23:00:00Z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2022-09-14T00:00:00Z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Objective-Description">
    <vt:lpwstr/>
  </property>
  <property fmtid="{D5CDD505-2E9C-101B-9397-08002B2CF9AE}" pid="32" name="Objective-VersionId">
    <vt:lpwstr>vA81876760</vt:lpwstr>
  </property>
  <property fmtid="{D5CDD505-2E9C-101B-9397-08002B2CF9AE}" pid="33" name="ContentTypeId">
    <vt:lpwstr>0x010100F6928D5F22F3C9499FAE85CC779B1B03</vt:lpwstr>
  </property>
</Properties>
</file>