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CAF52" w14:textId="77777777" w:rsidR="001A39E2" w:rsidRPr="00A017DF" w:rsidRDefault="001A39E2" w:rsidP="001A39E2">
      <w:pPr>
        <w:jc w:val="right"/>
        <w:rPr>
          <w:rFonts w:ascii="Arial" w:hAnsi="Arial" w:cs="Arial"/>
          <w:b/>
        </w:rPr>
      </w:pPr>
    </w:p>
    <w:p w14:paraId="0F5EA16D" w14:textId="721714E1" w:rsidR="00A845A9" w:rsidRPr="00A017DF" w:rsidRDefault="00B31EF7" w:rsidP="00A845A9">
      <w:pPr>
        <w:pStyle w:val="Heading1"/>
        <w:rPr>
          <w:rFonts w:cs="Arial"/>
          <w:color w:val="FF0000"/>
        </w:rPr>
      </w:pPr>
      <w:r w:rsidRPr="00A017DF">
        <w:rPr>
          <w:rFonts w:cs="Arial"/>
          <w:noProof/>
        </w:rPr>
        <mc:AlternateContent>
          <mc:Choice Requires="wps">
            <w:drawing>
              <wp:anchor distT="0" distB="0" distL="114300" distR="114300" simplePos="0" relativeHeight="251657216" behindDoc="0" locked="0" layoutInCell="0" allowOverlap="1" wp14:anchorId="7427EFC8" wp14:editId="4E641F7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7D88F"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3C6394C3" w14:textId="77777777" w:rsidR="00A845A9" w:rsidRPr="00D9018C" w:rsidRDefault="003B3D64" w:rsidP="00A845A9">
      <w:pPr>
        <w:pStyle w:val="Heading1"/>
        <w:jc w:val="center"/>
        <w:rPr>
          <w:rFonts w:ascii="Times New Roman" w:hAnsi="Times New Roman"/>
          <w:color w:val="FF0000"/>
          <w:sz w:val="40"/>
          <w:szCs w:val="40"/>
        </w:rPr>
      </w:pPr>
      <w:r w:rsidRPr="00D9018C">
        <w:rPr>
          <w:rFonts w:ascii="Times New Roman" w:hAnsi="Times New Roman"/>
          <w:color w:val="FF0000"/>
          <w:sz w:val="40"/>
          <w:szCs w:val="40"/>
        </w:rPr>
        <w:t xml:space="preserve">WRITTEN </w:t>
      </w:r>
      <w:r w:rsidR="00A845A9" w:rsidRPr="00D9018C">
        <w:rPr>
          <w:rFonts w:ascii="Times New Roman" w:hAnsi="Times New Roman"/>
          <w:color w:val="FF0000"/>
          <w:sz w:val="40"/>
          <w:szCs w:val="40"/>
        </w:rPr>
        <w:t xml:space="preserve">STATEMENT </w:t>
      </w:r>
    </w:p>
    <w:p w14:paraId="534EBF3A" w14:textId="77777777" w:rsidR="00A845A9" w:rsidRPr="00D9018C" w:rsidRDefault="00A845A9" w:rsidP="00A845A9">
      <w:pPr>
        <w:pStyle w:val="Heading1"/>
        <w:jc w:val="center"/>
        <w:rPr>
          <w:rFonts w:ascii="Times New Roman" w:hAnsi="Times New Roman"/>
          <w:color w:val="FF0000"/>
          <w:sz w:val="40"/>
          <w:szCs w:val="40"/>
        </w:rPr>
      </w:pPr>
      <w:r w:rsidRPr="00D9018C">
        <w:rPr>
          <w:rFonts w:ascii="Times New Roman" w:hAnsi="Times New Roman"/>
          <w:color w:val="FF0000"/>
          <w:sz w:val="40"/>
          <w:szCs w:val="40"/>
        </w:rPr>
        <w:t>BY</w:t>
      </w:r>
    </w:p>
    <w:p w14:paraId="0F0AEB5D" w14:textId="77777777" w:rsidR="00A845A9" w:rsidRPr="00D9018C" w:rsidRDefault="00A845A9" w:rsidP="00A845A9">
      <w:pPr>
        <w:pStyle w:val="Heading1"/>
        <w:jc w:val="center"/>
        <w:rPr>
          <w:rFonts w:ascii="Times New Roman" w:hAnsi="Times New Roman"/>
          <w:color w:val="FF0000"/>
          <w:sz w:val="40"/>
          <w:szCs w:val="40"/>
        </w:rPr>
      </w:pPr>
      <w:r w:rsidRPr="00D9018C">
        <w:rPr>
          <w:rFonts w:ascii="Times New Roman" w:hAnsi="Times New Roman"/>
          <w:color w:val="FF0000"/>
          <w:sz w:val="40"/>
          <w:szCs w:val="40"/>
        </w:rPr>
        <w:t>THE WELSH GOVERNMENT</w:t>
      </w:r>
    </w:p>
    <w:p w14:paraId="30F419B7" w14:textId="58FC84B3" w:rsidR="00A845A9" w:rsidRPr="00A017DF" w:rsidRDefault="00B31EF7" w:rsidP="00A845A9">
      <w:pPr>
        <w:rPr>
          <w:rFonts w:ascii="Arial" w:hAnsi="Arial" w:cs="Arial"/>
          <w:b/>
          <w:color w:val="FF0000"/>
        </w:rPr>
      </w:pPr>
      <w:r w:rsidRPr="00A017DF">
        <w:rPr>
          <w:rFonts w:ascii="Arial" w:hAnsi="Arial" w:cs="Arial"/>
          <w:b/>
          <w:noProof/>
          <w:lang w:eastAsia="en-GB"/>
        </w:rPr>
        <mc:AlternateContent>
          <mc:Choice Requires="wps">
            <w:drawing>
              <wp:anchor distT="0" distB="0" distL="114300" distR="114300" simplePos="0" relativeHeight="251658240" behindDoc="0" locked="0" layoutInCell="0" allowOverlap="1" wp14:anchorId="3B26D021" wp14:editId="281216AC">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2AB37"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p w14:paraId="1F8B4D89" w14:textId="77777777" w:rsidR="00A845A9" w:rsidRPr="00A017DF" w:rsidRDefault="00A845A9" w:rsidP="00A845A9">
      <w:pPr>
        <w:rPr>
          <w:rFonts w:ascii="Arial" w:hAnsi="Arial" w:cs="Arial"/>
          <w:sz w:val="24"/>
          <w:szCs w:val="24"/>
        </w:rPr>
      </w:pPr>
    </w:p>
    <w:tbl>
      <w:tblPr>
        <w:tblW w:w="0" w:type="auto"/>
        <w:tblLayout w:type="fixed"/>
        <w:tblLook w:val="0000" w:firstRow="0" w:lastRow="0" w:firstColumn="0" w:lastColumn="0" w:noHBand="0" w:noVBand="0"/>
      </w:tblPr>
      <w:tblGrid>
        <w:gridCol w:w="1383"/>
        <w:gridCol w:w="7939"/>
      </w:tblGrid>
      <w:tr w:rsidR="00A845A9" w:rsidRPr="00A017DF" w14:paraId="10FA6EE5" w14:textId="77777777" w:rsidTr="00B74EAA">
        <w:tc>
          <w:tcPr>
            <w:tcW w:w="1383" w:type="dxa"/>
            <w:tcBorders>
              <w:top w:val="nil"/>
              <w:left w:val="nil"/>
              <w:bottom w:val="nil"/>
              <w:right w:val="nil"/>
            </w:tcBorders>
            <w:vAlign w:val="center"/>
          </w:tcPr>
          <w:p w14:paraId="3E2A4242" w14:textId="77777777" w:rsidR="00A845A9" w:rsidRPr="00A017DF" w:rsidRDefault="00A845A9" w:rsidP="00B74EAA">
            <w:pPr>
              <w:spacing w:before="120" w:after="120"/>
              <w:rPr>
                <w:rFonts w:ascii="Arial" w:hAnsi="Arial" w:cs="Arial"/>
                <w:b/>
                <w:bCs/>
                <w:sz w:val="24"/>
                <w:szCs w:val="24"/>
              </w:rPr>
            </w:pPr>
            <w:r w:rsidRPr="00A017DF">
              <w:rPr>
                <w:rFonts w:ascii="Arial" w:hAnsi="Arial" w:cs="Arial"/>
                <w:b/>
                <w:bCs/>
                <w:sz w:val="24"/>
                <w:szCs w:val="24"/>
              </w:rPr>
              <w:t xml:space="preserve">TITLE </w:t>
            </w:r>
          </w:p>
        </w:tc>
        <w:tc>
          <w:tcPr>
            <w:tcW w:w="7939" w:type="dxa"/>
            <w:tcBorders>
              <w:top w:val="nil"/>
              <w:left w:val="nil"/>
              <w:bottom w:val="nil"/>
              <w:right w:val="nil"/>
            </w:tcBorders>
            <w:vAlign w:val="center"/>
          </w:tcPr>
          <w:p w14:paraId="763CAE5F" w14:textId="77777777" w:rsidR="00A845A9" w:rsidRPr="00A017DF" w:rsidRDefault="00DA482E" w:rsidP="000362BD">
            <w:pPr>
              <w:pStyle w:val="Heading3"/>
              <w:rPr>
                <w:bCs w:val="0"/>
                <w:sz w:val="24"/>
                <w:szCs w:val="24"/>
              </w:rPr>
            </w:pPr>
            <w:bookmarkStart w:id="0" w:name="_GoBack"/>
            <w:r w:rsidRPr="00DA482E">
              <w:rPr>
                <w:bCs w:val="0"/>
                <w:sz w:val="24"/>
                <w:szCs w:val="24"/>
              </w:rPr>
              <w:t>Annual Individual Patient</w:t>
            </w:r>
            <w:r w:rsidR="00713960">
              <w:rPr>
                <w:bCs w:val="0"/>
                <w:sz w:val="24"/>
                <w:szCs w:val="24"/>
              </w:rPr>
              <w:t xml:space="preserve"> Funding Request (IPFR) Report, 2018-</w:t>
            </w:r>
            <w:r w:rsidRPr="00DA482E">
              <w:rPr>
                <w:bCs w:val="0"/>
                <w:sz w:val="24"/>
                <w:szCs w:val="24"/>
              </w:rPr>
              <w:t>19</w:t>
            </w:r>
            <w:bookmarkEnd w:id="0"/>
          </w:p>
        </w:tc>
      </w:tr>
      <w:tr w:rsidR="00A845A9" w:rsidRPr="00A017DF" w14:paraId="4D5176FC" w14:textId="77777777" w:rsidTr="00B74EAA">
        <w:tc>
          <w:tcPr>
            <w:tcW w:w="1383" w:type="dxa"/>
            <w:tcBorders>
              <w:top w:val="nil"/>
              <w:left w:val="nil"/>
              <w:bottom w:val="nil"/>
              <w:right w:val="nil"/>
            </w:tcBorders>
            <w:vAlign w:val="center"/>
          </w:tcPr>
          <w:p w14:paraId="727D0EBF" w14:textId="77777777" w:rsidR="00A845A9" w:rsidRPr="00A017DF" w:rsidRDefault="00A845A9" w:rsidP="00B74EAA">
            <w:pPr>
              <w:spacing w:before="120" w:after="120"/>
              <w:rPr>
                <w:rFonts w:ascii="Arial" w:hAnsi="Arial" w:cs="Arial"/>
                <w:b/>
                <w:bCs/>
                <w:sz w:val="24"/>
                <w:szCs w:val="24"/>
              </w:rPr>
            </w:pPr>
            <w:r w:rsidRPr="00A017DF">
              <w:rPr>
                <w:rFonts w:ascii="Arial" w:hAnsi="Arial" w:cs="Arial"/>
                <w:b/>
                <w:bCs/>
                <w:sz w:val="24"/>
                <w:szCs w:val="24"/>
              </w:rPr>
              <w:t xml:space="preserve">DATE </w:t>
            </w:r>
          </w:p>
        </w:tc>
        <w:tc>
          <w:tcPr>
            <w:tcW w:w="7939" w:type="dxa"/>
            <w:tcBorders>
              <w:top w:val="nil"/>
              <w:left w:val="nil"/>
              <w:bottom w:val="nil"/>
              <w:right w:val="nil"/>
            </w:tcBorders>
            <w:vAlign w:val="center"/>
          </w:tcPr>
          <w:p w14:paraId="42ABA122" w14:textId="77777777" w:rsidR="00A845A9" w:rsidRPr="006D3CE9" w:rsidRDefault="00B31EF7" w:rsidP="00B74EAA">
            <w:pPr>
              <w:spacing w:before="120" w:after="120"/>
              <w:rPr>
                <w:rFonts w:ascii="Arial" w:hAnsi="Arial" w:cs="Arial"/>
                <w:b/>
                <w:bCs/>
                <w:sz w:val="24"/>
                <w:szCs w:val="24"/>
              </w:rPr>
            </w:pPr>
            <w:r>
              <w:rPr>
                <w:rFonts w:ascii="Arial" w:hAnsi="Arial" w:cs="Arial"/>
                <w:b/>
                <w:bCs/>
                <w:sz w:val="24"/>
                <w:szCs w:val="24"/>
              </w:rPr>
              <w:t>0</w:t>
            </w:r>
            <w:r w:rsidR="006D3CE9" w:rsidRPr="006D3CE9">
              <w:rPr>
                <w:rFonts w:ascii="Arial" w:hAnsi="Arial" w:cs="Arial"/>
                <w:b/>
                <w:bCs/>
                <w:sz w:val="24"/>
                <w:szCs w:val="24"/>
              </w:rPr>
              <w:t>3</w:t>
            </w:r>
            <w:r w:rsidR="00DA482E" w:rsidRPr="006D3CE9">
              <w:rPr>
                <w:rFonts w:ascii="Arial" w:hAnsi="Arial" w:cs="Arial"/>
                <w:b/>
                <w:bCs/>
                <w:sz w:val="24"/>
                <w:szCs w:val="24"/>
              </w:rPr>
              <w:t xml:space="preserve"> October</w:t>
            </w:r>
            <w:r w:rsidR="00626462" w:rsidRPr="006D3CE9">
              <w:rPr>
                <w:rFonts w:ascii="Arial" w:hAnsi="Arial" w:cs="Arial"/>
                <w:b/>
                <w:bCs/>
                <w:sz w:val="24"/>
                <w:szCs w:val="24"/>
              </w:rPr>
              <w:t xml:space="preserve"> 2019</w:t>
            </w:r>
          </w:p>
        </w:tc>
      </w:tr>
      <w:tr w:rsidR="00A845A9" w:rsidRPr="00A017DF" w14:paraId="400644A5" w14:textId="77777777" w:rsidTr="00B74EAA">
        <w:tc>
          <w:tcPr>
            <w:tcW w:w="1383" w:type="dxa"/>
            <w:tcBorders>
              <w:top w:val="nil"/>
              <w:left w:val="nil"/>
              <w:bottom w:val="nil"/>
              <w:right w:val="nil"/>
            </w:tcBorders>
            <w:vAlign w:val="center"/>
          </w:tcPr>
          <w:p w14:paraId="494E6F06" w14:textId="77777777" w:rsidR="00A845A9" w:rsidRPr="00A017DF" w:rsidRDefault="00A845A9" w:rsidP="00B74EAA">
            <w:pPr>
              <w:spacing w:before="120" w:after="120"/>
              <w:rPr>
                <w:rFonts w:ascii="Arial" w:hAnsi="Arial" w:cs="Arial"/>
                <w:b/>
                <w:bCs/>
                <w:sz w:val="24"/>
                <w:szCs w:val="24"/>
              </w:rPr>
            </w:pPr>
            <w:r w:rsidRPr="00A017DF">
              <w:rPr>
                <w:rFonts w:ascii="Arial" w:hAnsi="Arial" w:cs="Arial"/>
                <w:b/>
                <w:bCs/>
                <w:sz w:val="24"/>
                <w:szCs w:val="24"/>
              </w:rPr>
              <w:t xml:space="preserve">BY </w:t>
            </w:r>
          </w:p>
        </w:tc>
        <w:tc>
          <w:tcPr>
            <w:tcW w:w="7939" w:type="dxa"/>
            <w:tcBorders>
              <w:top w:val="nil"/>
              <w:left w:val="nil"/>
              <w:bottom w:val="nil"/>
              <w:right w:val="nil"/>
            </w:tcBorders>
            <w:vAlign w:val="center"/>
          </w:tcPr>
          <w:p w14:paraId="61060BF9" w14:textId="77777777" w:rsidR="00A845A9" w:rsidRPr="00A017DF" w:rsidRDefault="00AA3482" w:rsidP="00B74EAA">
            <w:pPr>
              <w:pStyle w:val="Heading3"/>
              <w:rPr>
                <w:bCs w:val="0"/>
                <w:sz w:val="24"/>
                <w:szCs w:val="24"/>
              </w:rPr>
            </w:pPr>
            <w:r w:rsidRPr="00A017DF">
              <w:rPr>
                <w:bCs w:val="0"/>
                <w:sz w:val="24"/>
                <w:szCs w:val="24"/>
              </w:rPr>
              <w:t>Vaugh</w:t>
            </w:r>
            <w:r w:rsidR="00C23CC6" w:rsidRPr="00A017DF">
              <w:rPr>
                <w:bCs w:val="0"/>
                <w:sz w:val="24"/>
                <w:szCs w:val="24"/>
              </w:rPr>
              <w:t>a</w:t>
            </w:r>
            <w:r w:rsidR="00611E3A">
              <w:rPr>
                <w:bCs w:val="0"/>
                <w:sz w:val="24"/>
                <w:szCs w:val="24"/>
              </w:rPr>
              <w:t>n Gething, Minister</w:t>
            </w:r>
            <w:r w:rsidRPr="00A017DF">
              <w:rPr>
                <w:bCs w:val="0"/>
                <w:sz w:val="24"/>
                <w:szCs w:val="24"/>
              </w:rPr>
              <w:t xml:space="preserve"> for Health</w:t>
            </w:r>
            <w:r w:rsidR="000B7AC2">
              <w:rPr>
                <w:bCs w:val="0"/>
                <w:sz w:val="24"/>
                <w:szCs w:val="24"/>
              </w:rPr>
              <w:t xml:space="preserve"> and Social Services</w:t>
            </w:r>
          </w:p>
        </w:tc>
      </w:tr>
    </w:tbl>
    <w:p w14:paraId="4B844B14" w14:textId="77777777" w:rsidR="00A017DF" w:rsidRDefault="00A017DF" w:rsidP="00A017DF">
      <w:pPr>
        <w:rPr>
          <w:rFonts w:ascii="Arial" w:hAnsi="Arial" w:cs="Arial"/>
          <w:sz w:val="24"/>
          <w:szCs w:val="24"/>
        </w:rPr>
      </w:pPr>
    </w:p>
    <w:p w14:paraId="2D410FA4" w14:textId="77777777" w:rsidR="006E666B" w:rsidRDefault="00DA482E" w:rsidP="006E666B">
      <w:pPr>
        <w:pStyle w:val="ListParagraph"/>
        <w:ind w:left="0"/>
      </w:pPr>
      <w:r w:rsidRPr="000F36D2">
        <w:t>An IPFR is a request to a health board or the Welsh Health Specialised Services Committee (WHSSC) to fund NHS healthcare for patients who fall outside the range of services and treatments that a</w:t>
      </w:r>
      <w:r w:rsidR="00AD1973">
        <w:t xml:space="preserve">n NHS organisation </w:t>
      </w:r>
      <w:r w:rsidRPr="000F36D2">
        <w:t>routinely provides</w:t>
      </w:r>
      <w:r>
        <w:t xml:space="preserve">. </w:t>
      </w:r>
      <w:r w:rsidR="00396294">
        <w:t xml:space="preserve"> </w:t>
      </w:r>
      <w:r>
        <w:t>An IPFR can cover</w:t>
      </w:r>
      <w:r w:rsidRPr="000F36D2">
        <w:t xml:space="preserve"> any type of healthcare</w:t>
      </w:r>
      <w:r>
        <w:t>,</w:t>
      </w:r>
      <w:r w:rsidRPr="000F36D2">
        <w:t xml:space="preserve"> including a specific service, treatment, medicine, device or piece of equip</w:t>
      </w:r>
      <w:r>
        <w:t xml:space="preserve">ment.  </w:t>
      </w:r>
      <w:r w:rsidR="00713960">
        <w:t>There are s</w:t>
      </w:r>
      <w:r>
        <w:t xml:space="preserve">everal hundred IPFRs every year and the majority </w:t>
      </w:r>
      <w:r w:rsidRPr="000F36D2">
        <w:t>are accepted.</w:t>
      </w:r>
      <w:r w:rsidR="006E666B">
        <w:t xml:space="preserve">  </w:t>
      </w:r>
    </w:p>
    <w:p w14:paraId="3401C418" w14:textId="77777777" w:rsidR="006E666B" w:rsidRDefault="006E666B" w:rsidP="006E666B">
      <w:pPr>
        <w:pStyle w:val="ListParagraph"/>
        <w:ind w:left="0"/>
      </w:pPr>
    </w:p>
    <w:p w14:paraId="42CCAB6E" w14:textId="77777777" w:rsidR="008B2F9D" w:rsidRDefault="006E666B" w:rsidP="006E666B">
      <w:pPr>
        <w:pStyle w:val="ListParagraph"/>
        <w:ind w:left="0"/>
      </w:pPr>
      <w:r>
        <w:t xml:space="preserve">Following the 2014 IPFR review and the implementation of its recommendations, </w:t>
      </w:r>
      <w:r w:rsidR="006E3E77">
        <w:t xml:space="preserve">Members </w:t>
      </w:r>
      <w:r>
        <w:t xml:space="preserve">may recall that in 2016 I had agreed the time was right for a new, independent review of the IPFR process.  </w:t>
      </w:r>
      <w:r w:rsidR="00A9237D">
        <w:t xml:space="preserve">The group of independent experts </w:t>
      </w:r>
      <w:r w:rsidR="00620426">
        <w:t xml:space="preserve">who carried out the review </w:t>
      </w:r>
      <w:r w:rsidR="00A9237D">
        <w:t>comprised</w:t>
      </w:r>
      <w:r w:rsidR="00A9237D" w:rsidRPr="00A9237D">
        <w:t xml:space="preserve"> a range of relevant expertise and knowledge</w:t>
      </w:r>
      <w:r w:rsidR="00A9237D">
        <w:t xml:space="preserve"> and had </w:t>
      </w:r>
      <w:r w:rsidR="00A9237D" w:rsidRPr="00A9237D">
        <w:t>sole responsibility for the content of their report, their findings and their recommendations</w:t>
      </w:r>
      <w:r w:rsidR="00884BEE">
        <w:t>.  I accepted all of the 27 recommendations – several of which endorsed and built on existing good practice in the NHS</w:t>
      </w:r>
      <w:r w:rsidR="002E4A37">
        <w:t xml:space="preserve"> in Wales</w:t>
      </w:r>
      <w:r w:rsidR="00884BEE">
        <w:t xml:space="preserve"> – and committed to implementing them.</w:t>
      </w:r>
    </w:p>
    <w:p w14:paraId="40D96537" w14:textId="77777777" w:rsidR="00884BEE" w:rsidRDefault="00884BEE" w:rsidP="006E666B">
      <w:pPr>
        <w:pStyle w:val="ListParagraph"/>
        <w:ind w:left="0"/>
      </w:pPr>
    </w:p>
    <w:p w14:paraId="6F0CC90B" w14:textId="77777777" w:rsidR="00357A34" w:rsidRDefault="000D6C28" w:rsidP="006E666B">
      <w:pPr>
        <w:pStyle w:val="ListParagraph"/>
        <w:ind w:left="0"/>
      </w:pPr>
      <w:r>
        <w:t>C</w:t>
      </w:r>
      <w:r w:rsidR="0053558B">
        <w:t xml:space="preserve">hanges </w:t>
      </w:r>
      <w:r>
        <w:t xml:space="preserve">introduced as a result </w:t>
      </w:r>
      <w:r w:rsidR="00D15C02">
        <w:t xml:space="preserve">included </w:t>
      </w:r>
      <w:r w:rsidR="0053558B">
        <w:t xml:space="preserve">improving access to information about the IPFR process for clinicians and patients; </w:t>
      </w:r>
      <w:r w:rsidR="00D15C02">
        <w:t xml:space="preserve">providing more training for clinicians about the IPFR process and the processes </w:t>
      </w:r>
      <w:r w:rsidR="00AD1973">
        <w:t>NHS organisations</w:t>
      </w:r>
      <w:r w:rsidR="00D15C02">
        <w:t xml:space="preserve"> use to commission serv</w:t>
      </w:r>
      <w:r w:rsidR="00371143">
        <w:t xml:space="preserve">ices in other health boards; establishing the NHS Wales Quality Assurance Advisory Group </w:t>
      </w:r>
      <w:r>
        <w:t xml:space="preserve">(QAAG) </w:t>
      </w:r>
      <w:r w:rsidR="00371143">
        <w:t xml:space="preserve">to monitor </w:t>
      </w:r>
      <w:r w:rsidR="00AD1973">
        <w:t>NHS organisations</w:t>
      </w:r>
      <w:r w:rsidR="00371143">
        <w:t xml:space="preserve">’ IPFR processes and </w:t>
      </w:r>
      <w:r w:rsidR="009E0A34">
        <w:t>stre</w:t>
      </w:r>
      <w:r w:rsidR="002E4A37">
        <w:t>amlining the process</w:t>
      </w:r>
      <w:r w:rsidR="009E0A34">
        <w:t>.</w:t>
      </w:r>
      <w:r w:rsidR="00357A34" w:rsidRPr="00357A34">
        <w:t xml:space="preserve"> </w:t>
      </w:r>
    </w:p>
    <w:p w14:paraId="58899192" w14:textId="77777777" w:rsidR="00357A34" w:rsidRDefault="00357A34" w:rsidP="006E666B">
      <w:pPr>
        <w:pStyle w:val="ListParagraph"/>
        <w:ind w:left="0"/>
      </w:pPr>
    </w:p>
    <w:p w14:paraId="30A28181" w14:textId="77777777" w:rsidR="0053558B" w:rsidRDefault="00357A34" w:rsidP="006E666B">
      <w:pPr>
        <w:pStyle w:val="ListParagraph"/>
        <w:ind w:left="0"/>
      </w:pPr>
      <w:r w:rsidRPr="00357A34">
        <w:t xml:space="preserve">The QAAG reviews a sample of IPFRs from all </w:t>
      </w:r>
      <w:r w:rsidR="00AD1973">
        <w:t xml:space="preserve">NHS organisations </w:t>
      </w:r>
      <w:r w:rsidRPr="00357A34">
        <w:t>every six months</w:t>
      </w:r>
      <w:r w:rsidR="000D6C28">
        <w:t xml:space="preserve">.  The Group </w:t>
      </w:r>
      <w:r w:rsidRPr="00357A34">
        <w:t>considers that overall the IPFR process is being followed in line with IPFR policy.</w:t>
      </w:r>
    </w:p>
    <w:p w14:paraId="654F082E" w14:textId="77777777" w:rsidR="0016578E" w:rsidRDefault="0016578E" w:rsidP="006E666B">
      <w:pPr>
        <w:pStyle w:val="ListParagraph"/>
        <w:ind w:left="0"/>
      </w:pPr>
    </w:p>
    <w:p w14:paraId="23F9B025" w14:textId="77777777" w:rsidR="009E0A34" w:rsidRPr="006D3CE9" w:rsidRDefault="00D15C02" w:rsidP="006E666B">
      <w:pPr>
        <w:pStyle w:val="ListParagraph"/>
        <w:ind w:left="0"/>
        <w:rPr>
          <w:b/>
          <w:bCs/>
        </w:rPr>
      </w:pPr>
      <w:r>
        <w:t xml:space="preserve">Another of the recommendations was to revise the </w:t>
      </w:r>
      <w:r w:rsidR="00371143">
        <w:t xml:space="preserve">criteria </w:t>
      </w:r>
      <w:r w:rsidR="002E4A37">
        <w:t>a</w:t>
      </w:r>
      <w:r w:rsidR="00AD1973">
        <w:t>n NHS organisation</w:t>
      </w:r>
      <w:r w:rsidR="006D3CE9">
        <w:t>’s</w:t>
      </w:r>
      <w:r w:rsidR="00AD1973">
        <w:t xml:space="preserve"> </w:t>
      </w:r>
      <w:r w:rsidR="002E4A37">
        <w:t>IPFR panel use</w:t>
      </w:r>
      <w:r w:rsidR="00371143">
        <w:t xml:space="preserve"> to assess</w:t>
      </w:r>
      <w:r>
        <w:t xml:space="preserve"> an IPFR by requiring the clinician to show a patient would gain significant clinical benefit at reasonable value for money for the NHS, rather than showing </w:t>
      </w:r>
      <w:r w:rsidR="00371143">
        <w:t>t</w:t>
      </w:r>
      <w:r>
        <w:t xml:space="preserve">hat a patient had clinical exceptionality.  </w:t>
      </w:r>
      <w:r w:rsidR="00D665A2">
        <w:t>The latest</w:t>
      </w:r>
      <w:r w:rsidR="00884BEE">
        <w:t xml:space="preserve"> annual report about the IPFR process </w:t>
      </w:r>
      <w:r w:rsidR="009E0A34" w:rsidRPr="009E0A34">
        <w:rPr>
          <w:rFonts w:eastAsia="Times New Roman" w:cs="Arial"/>
          <w:szCs w:val="24"/>
        </w:rPr>
        <w:t>(</w:t>
      </w:r>
      <w:hyperlink r:id="rId10" w:history="1">
        <w:r w:rsidR="009E0A34" w:rsidRPr="009E0A34">
          <w:rPr>
            <w:rFonts w:eastAsia="Times New Roman" w:cs="Arial"/>
            <w:color w:val="0000FF"/>
            <w:szCs w:val="24"/>
            <w:u w:val="single"/>
          </w:rPr>
          <w:t>https://www.awttc.org/ipfr</w:t>
        </w:r>
      </w:hyperlink>
      <w:r w:rsidR="009E0A34" w:rsidRPr="009E0A34">
        <w:rPr>
          <w:rFonts w:eastAsia="Times New Roman" w:cs="Arial"/>
          <w:szCs w:val="24"/>
        </w:rPr>
        <w:t xml:space="preserve">) </w:t>
      </w:r>
      <w:r w:rsidR="00884BEE">
        <w:t>is the first to cover a full year since the IPFR guidance was revised in June 2017.</w:t>
      </w:r>
      <w:r w:rsidR="009E0A34" w:rsidRPr="009E0A34">
        <w:t xml:space="preserve"> </w:t>
      </w:r>
    </w:p>
    <w:p w14:paraId="3CE73057" w14:textId="77777777" w:rsidR="009E0A34" w:rsidRDefault="009E0A34" w:rsidP="006E666B">
      <w:pPr>
        <w:pStyle w:val="ListParagraph"/>
        <w:ind w:left="0"/>
      </w:pPr>
    </w:p>
    <w:p w14:paraId="0C365C97" w14:textId="77777777" w:rsidR="00884BEE" w:rsidRDefault="009E0A34" w:rsidP="006E666B">
      <w:pPr>
        <w:pStyle w:val="ListParagraph"/>
        <w:ind w:left="0"/>
      </w:pPr>
      <w:r w:rsidRPr="009E0A34">
        <w:lastRenderedPageBreak/>
        <w:t xml:space="preserve">The </w:t>
      </w:r>
      <w:r w:rsidR="00D665A2">
        <w:t>number of IPFRs made has been falling since 2015 and the small number</w:t>
      </w:r>
      <w:r w:rsidRPr="009E0A34">
        <w:t xml:space="preserve"> </w:t>
      </w:r>
      <w:r w:rsidR="00D665A2">
        <w:t xml:space="preserve">in 2018-19 </w:t>
      </w:r>
      <w:r w:rsidRPr="009E0A34">
        <w:t>(358) means it would be difficult to generalise or draw definitive conclusions about the impact of the changes made to the IPFR process.</w:t>
      </w:r>
      <w:r w:rsidR="00620426">
        <w:t xml:space="preserve">  Nonetheless, I am pleased to report </w:t>
      </w:r>
      <w:r>
        <w:t>the approval rate for</w:t>
      </w:r>
      <w:r w:rsidR="00D665A2">
        <w:t xml:space="preserve"> all IPFRs has been rising since 2016</w:t>
      </w:r>
      <w:r w:rsidR="003A3946">
        <w:t>-17</w:t>
      </w:r>
      <w:r w:rsidR="00D665A2">
        <w:t xml:space="preserve">, reaching </w:t>
      </w:r>
      <w:r w:rsidR="00620426">
        <w:t xml:space="preserve">the highest level to date - </w:t>
      </w:r>
      <w:r w:rsidR="00D665A2">
        <w:t xml:space="preserve">68% </w:t>
      </w:r>
      <w:r w:rsidR="00620426">
        <w:t>- in 2018-19.  Similarly, t</w:t>
      </w:r>
      <w:r w:rsidR="00D665A2">
        <w:t>he approval rate for</w:t>
      </w:r>
      <w:r>
        <w:t xml:space="preserve"> </w:t>
      </w:r>
      <w:r w:rsidR="00357A34">
        <w:t>medicine</w:t>
      </w:r>
      <w:r w:rsidR="00D665A2">
        <w:t xml:space="preserve"> </w:t>
      </w:r>
      <w:r>
        <w:t>IPFRs has been increasing f</w:t>
      </w:r>
      <w:r w:rsidR="00357A34">
        <w:t xml:space="preserve">or the past four years reaching the highest level to date - </w:t>
      </w:r>
      <w:r>
        <w:t xml:space="preserve">71% </w:t>
      </w:r>
      <w:r w:rsidR="00357A34">
        <w:t xml:space="preserve">- </w:t>
      </w:r>
      <w:r>
        <w:t>last year.</w:t>
      </w:r>
      <w:r w:rsidR="00140A3C">
        <w:t xml:space="preserve">  </w:t>
      </w:r>
      <w:r w:rsidR="00357A34">
        <w:t xml:space="preserve">The approval rate for non-medicine IPFRs has varied over time but last year’s approval rate </w:t>
      </w:r>
      <w:r w:rsidR="001039F7">
        <w:t xml:space="preserve">- </w:t>
      </w:r>
      <w:r w:rsidR="00357A34">
        <w:t xml:space="preserve">66% - is the highest to date.  </w:t>
      </w:r>
      <w:r w:rsidR="00140A3C" w:rsidRPr="00140A3C">
        <w:t>As well as IPFRs, in 2018</w:t>
      </w:r>
      <w:r w:rsidR="001039F7">
        <w:t>-</w:t>
      </w:r>
      <w:r w:rsidR="00140A3C" w:rsidRPr="00140A3C">
        <w:t>19</w:t>
      </w:r>
      <w:r w:rsidR="00AD1973">
        <w:t>,</w:t>
      </w:r>
      <w:r w:rsidR="00140A3C" w:rsidRPr="00140A3C">
        <w:t xml:space="preserve"> there were 34 continued funding requests, to fund extensions to original IPFR</w:t>
      </w:r>
      <w:r w:rsidR="001039F7">
        <w:t>s</w:t>
      </w:r>
      <w:r w:rsidR="00140A3C" w:rsidRPr="00140A3C">
        <w:t xml:space="preserve">.  </w:t>
      </w:r>
      <w:r w:rsidR="001039F7">
        <w:t>Of these</w:t>
      </w:r>
      <w:r w:rsidR="00AD1973">
        <w:t>,</w:t>
      </w:r>
      <w:r w:rsidR="001039F7">
        <w:t xml:space="preserve"> t</w:t>
      </w:r>
      <w:r w:rsidR="00140A3C" w:rsidRPr="00140A3C">
        <w:t>here were 28 for medicines and six</w:t>
      </w:r>
      <w:r w:rsidR="00713960">
        <w:t xml:space="preserve"> </w:t>
      </w:r>
      <w:r w:rsidR="00140A3C" w:rsidRPr="00140A3C">
        <w:t>for non-medicines, which indicate that patients were benefitting from the requested treatment</w:t>
      </w:r>
      <w:r w:rsidR="001C2220">
        <w:t>s</w:t>
      </w:r>
      <w:r w:rsidR="00140A3C" w:rsidRPr="00140A3C">
        <w:t>.</w:t>
      </w:r>
    </w:p>
    <w:p w14:paraId="1C8ABE50" w14:textId="77777777" w:rsidR="006B72C5" w:rsidRDefault="006B72C5" w:rsidP="006E666B">
      <w:pPr>
        <w:pStyle w:val="ListParagraph"/>
        <w:ind w:left="0"/>
      </w:pPr>
    </w:p>
    <w:p w14:paraId="11B3B20C" w14:textId="77777777" w:rsidR="009E0A34" w:rsidRDefault="00357A34" w:rsidP="006E666B">
      <w:pPr>
        <w:pStyle w:val="ListParagraph"/>
        <w:ind w:left="0"/>
      </w:pPr>
      <w:r>
        <w:t>IPFRs are a small but signific</w:t>
      </w:r>
      <w:r w:rsidR="006D3CE9">
        <w:t xml:space="preserve">ant part of the services </w:t>
      </w:r>
      <w:r>
        <w:t xml:space="preserve">NHS </w:t>
      </w:r>
      <w:r w:rsidR="00AD1973">
        <w:t xml:space="preserve">Wales </w:t>
      </w:r>
      <w:r>
        <w:t xml:space="preserve">provides and their impact on patients should not be underestimated.  </w:t>
      </w:r>
      <w:r w:rsidR="00D7047B">
        <w:t>I believe the independent review has improved understanding of the IPFR process for both patients and clinicians and the regular monitoring being undertaken by the QAAG means that patients and clinicians can have every confidence that IPFRs are being carried out to the highest standards.</w:t>
      </w:r>
    </w:p>
    <w:p w14:paraId="35C22591" w14:textId="77777777" w:rsidR="00D7047B" w:rsidRPr="00D15C02" w:rsidRDefault="00D7047B" w:rsidP="006E666B">
      <w:pPr>
        <w:pStyle w:val="ListParagraph"/>
        <w:ind w:left="0"/>
      </w:pPr>
    </w:p>
    <w:sectPr w:rsidR="00D7047B" w:rsidRPr="00D15C02"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A7989" w14:textId="77777777" w:rsidR="004A12A7" w:rsidRDefault="004A12A7">
      <w:r>
        <w:separator/>
      </w:r>
    </w:p>
  </w:endnote>
  <w:endnote w:type="continuationSeparator" w:id="0">
    <w:p w14:paraId="4D9DC442" w14:textId="77777777" w:rsidR="004A12A7" w:rsidRDefault="004A1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D8D6B" w14:textId="77777777" w:rsidR="00E664DB" w:rsidRDefault="00E664DB"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C7393C" w14:textId="77777777" w:rsidR="00E664DB" w:rsidRDefault="00E664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A8591" w14:textId="7195626B" w:rsidR="00E664DB" w:rsidRDefault="00E664DB"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1EF7">
      <w:rPr>
        <w:rStyle w:val="PageNumber"/>
        <w:noProof/>
      </w:rPr>
      <w:t>2</w:t>
    </w:r>
    <w:r>
      <w:rPr>
        <w:rStyle w:val="PageNumber"/>
      </w:rPr>
      <w:fldChar w:fldCharType="end"/>
    </w:r>
  </w:p>
  <w:p w14:paraId="2C72CFF0" w14:textId="77777777" w:rsidR="00E664DB" w:rsidRDefault="00E664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285A7" w14:textId="163280A8" w:rsidR="00E664DB" w:rsidRPr="002F4260" w:rsidRDefault="00E664DB" w:rsidP="005D2A41">
    <w:pPr>
      <w:pStyle w:val="Footer"/>
      <w:framePr w:h="365" w:hRule="exact" w:wrap="around" w:vAnchor="text" w:hAnchor="page" w:x="6202" w:y="-58"/>
      <w:rPr>
        <w:rStyle w:val="PageNumber"/>
        <w:rFonts w:ascii="Arial" w:hAnsi="Arial" w:cs="Arial"/>
        <w:sz w:val="16"/>
        <w:szCs w:val="16"/>
      </w:rPr>
    </w:pPr>
    <w:r w:rsidRPr="002F4260">
      <w:rPr>
        <w:rStyle w:val="PageNumber"/>
        <w:rFonts w:ascii="Arial" w:hAnsi="Arial" w:cs="Arial"/>
        <w:sz w:val="16"/>
        <w:szCs w:val="16"/>
      </w:rPr>
      <w:fldChar w:fldCharType="begin"/>
    </w:r>
    <w:r w:rsidRPr="002F4260">
      <w:rPr>
        <w:rStyle w:val="PageNumber"/>
        <w:rFonts w:ascii="Arial" w:hAnsi="Arial" w:cs="Arial"/>
        <w:sz w:val="16"/>
        <w:szCs w:val="16"/>
      </w:rPr>
      <w:instrText xml:space="preserve">PAGE  </w:instrText>
    </w:r>
    <w:r w:rsidRPr="002F4260">
      <w:rPr>
        <w:rStyle w:val="PageNumber"/>
        <w:rFonts w:ascii="Arial" w:hAnsi="Arial" w:cs="Arial"/>
        <w:sz w:val="16"/>
        <w:szCs w:val="16"/>
      </w:rPr>
      <w:fldChar w:fldCharType="separate"/>
    </w:r>
    <w:r w:rsidR="00B31EF7">
      <w:rPr>
        <w:rStyle w:val="PageNumber"/>
        <w:rFonts w:ascii="Arial" w:hAnsi="Arial" w:cs="Arial"/>
        <w:noProof/>
        <w:sz w:val="16"/>
        <w:szCs w:val="16"/>
      </w:rPr>
      <w:t>1</w:t>
    </w:r>
    <w:r w:rsidRPr="002F4260">
      <w:rPr>
        <w:rStyle w:val="PageNumber"/>
        <w:rFonts w:ascii="Arial" w:hAnsi="Arial" w:cs="Arial"/>
        <w:sz w:val="16"/>
        <w:szCs w:val="16"/>
      </w:rPr>
      <w:fldChar w:fldCharType="end"/>
    </w:r>
  </w:p>
  <w:p w14:paraId="688E4A62" w14:textId="77777777" w:rsidR="00E664DB" w:rsidRPr="00A845A9" w:rsidRDefault="00E664DB"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D9C60" w14:textId="77777777" w:rsidR="004A12A7" w:rsidRDefault="004A12A7">
      <w:r>
        <w:separator/>
      </w:r>
    </w:p>
  </w:footnote>
  <w:footnote w:type="continuationSeparator" w:id="0">
    <w:p w14:paraId="0A563558" w14:textId="77777777" w:rsidR="004A12A7" w:rsidRDefault="004A1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21501" w14:textId="6EFD1BEE" w:rsidR="00E664DB" w:rsidRDefault="00B31EF7">
    <w:r>
      <w:rPr>
        <w:noProof/>
        <w:lang w:eastAsia="en-GB"/>
      </w:rPr>
      <w:drawing>
        <wp:anchor distT="0" distB="0" distL="114300" distR="114300" simplePos="0" relativeHeight="251657728" behindDoc="0" locked="0" layoutInCell="1" allowOverlap="1" wp14:anchorId="24BFC676" wp14:editId="64AD7F64">
          <wp:simplePos x="0" y="0"/>
          <wp:positionH relativeFrom="column">
            <wp:posOffset>4637405</wp:posOffset>
          </wp:positionH>
          <wp:positionV relativeFrom="paragraph">
            <wp:posOffset>-111760</wp:posOffset>
          </wp:positionV>
          <wp:extent cx="1476375" cy="1400175"/>
          <wp:effectExtent l="0" t="0" r="0" b="0"/>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DAC9CC9" w14:textId="77777777" w:rsidR="00E664DB" w:rsidRDefault="00E664DB">
    <w:pPr>
      <w:pStyle w:val="Header"/>
    </w:pPr>
  </w:p>
  <w:p w14:paraId="02078132" w14:textId="77777777" w:rsidR="00E664DB" w:rsidRDefault="00E664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B1475"/>
    <w:multiLevelType w:val="multilevel"/>
    <w:tmpl w:val="A5E82014"/>
    <w:lvl w:ilvl="0">
      <w:start w:val="1"/>
      <w:numFmt w:val="decimal"/>
      <w:lvlText w:val="%1."/>
      <w:lvlJc w:val="left"/>
      <w:pPr>
        <w:ind w:left="720" w:hanging="720"/>
      </w:pPr>
      <w:rPr>
        <w:rFonts w:hint="default"/>
        <w:b/>
        <w:color w:val="auto"/>
        <w:sz w:val="24"/>
        <w:szCs w:val="24"/>
      </w:rPr>
    </w:lvl>
    <w:lvl w:ilvl="1">
      <w:start w:val="1"/>
      <w:numFmt w:val="decimal"/>
      <w:isLgl/>
      <w:lvlText w:val="%1.%2"/>
      <w:lvlJc w:val="left"/>
      <w:pPr>
        <w:ind w:left="468" w:hanging="468"/>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4F12"/>
    <w:rsid w:val="0001210E"/>
    <w:rsid w:val="00023B69"/>
    <w:rsid w:val="00030178"/>
    <w:rsid w:val="0003600A"/>
    <w:rsid w:val="000362BD"/>
    <w:rsid w:val="000473F8"/>
    <w:rsid w:val="000516D9"/>
    <w:rsid w:val="00053E1B"/>
    <w:rsid w:val="00062F55"/>
    <w:rsid w:val="00066384"/>
    <w:rsid w:val="0007133A"/>
    <w:rsid w:val="00090C3D"/>
    <w:rsid w:val="00097118"/>
    <w:rsid w:val="000A5718"/>
    <w:rsid w:val="000B7AC2"/>
    <w:rsid w:val="000C3A52"/>
    <w:rsid w:val="000C53DB"/>
    <w:rsid w:val="000D2863"/>
    <w:rsid w:val="000D6C28"/>
    <w:rsid w:val="000E2B56"/>
    <w:rsid w:val="000F63D0"/>
    <w:rsid w:val="000F6BE9"/>
    <w:rsid w:val="000F79AE"/>
    <w:rsid w:val="00101896"/>
    <w:rsid w:val="001039F7"/>
    <w:rsid w:val="00111E81"/>
    <w:rsid w:val="00116BE2"/>
    <w:rsid w:val="00134918"/>
    <w:rsid w:val="0014039C"/>
    <w:rsid w:val="00140A3C"/>
    <w:rsid w:val="001460B1"/>
    <w:rsid w:val="00146477"/>
    <w:rsid w:val="00155164"/>
    <w:rsid w:val="001632D7"/>
    <w:rsid w:val="0016578E"/>
    <w:rsid w:val="00170C84"/>
    <w:rsid w:val="0017102C"/>
    <w:rsid w:val="00187D26"/>
    <w:rsid w:val="001A26F8"/>
    <w:rsid w:val="001A39E2"/>
    <w:rsid w:val="001B027C"/>
    <w:rsid w:val="001B288D"/>
    <w:rsid w:val="001C2220"/>
    <w:rsid w:val="001C532F"/>
    <w:rsid w:val="001C5455"/>
    <w:rsid w:val="001D5B32"/>
    <w:rsid w:val="001E13EA"/>
    <w:rsid w:val="001E7DE5"/>
    <w:rsid w:val="00203460"/>
    <w:rsid w:val="002174E0"/>
    <w:rsid w:val="00223E62"/>
    <w:rsid w:val="00233AFB"/>
    <w:rsid w:val="00235402"/>
    <w:rsid w:val="00236ACE"/>
    <w:rsid w:val="00243A95"/>
    <w:rsid w:val="00260503"/>
    <w:rsid w:val="00260CD2"/>
    <w:rsid w:val="0026186A"/>
    <w:rsid w:val="00270386"/>
    <w:rsid w:val="002A09FF"/>
    <w:rsid w:val="002A5310"/>
    <w:rsid w:val="002A5E27"/>
    <w:rsid w:val="002A5E9D"/>
    <w:rsid w:val="002C03E3"/>
    <w:rsid w:val="002C57B6"/>
    <w:rsid w:val="002D17A1"/>
    <w:rsid w:val="002E4A37"/>
    <w:rsid w:val="002E66C0"/>
    <w:rsid w:val="002F0EB9"/>
    <w:rsid w:val="002F3533"/>
    <w:rsid w:val="002F4260"/>
    <w:rsid w:val="002F53A9"/>
    <w:rsid w:val="002F7F5B"/>
    <w:rsid w:val="00305CF9"/>
    <w:rsid w:val="00314E36"/>
    <w:rsid w:val="003220C1"/>
    <w:rsid w:val="00322C67"/>
    <w:rsid w:val="0035156A"/>
    <w:rsid w:val="00356D7B"/>
    <w:rsid w:val="00357893"/>
    <w:rsid w:val="00357A34"/>
    <w:rsid w:val="0036141E"/>
    <w:rsid w:val="00370471"/>
    <w:rsid w:val="00371143"/>
    <w:rsid w:val="003814EB"/>
    <w:rsid w:val="00382579"/>
    <w:rsid w:val="003904B4"/>
    <w:rsid w:val="003933BC"/>
    <w:rsid w:val="00396294"/>
    <w:rsid w:val="003A3946"/>
    <w:rsid w:val="003B1503"/>
    <w:rsid w:val="003B3D64"/>
    <w:rsid w:val="003C24F5"/>
    <w:rsid w:val="003C5133"/>
    <w:rsid w:val="003C675D"/>
    <w:rsid w:val="004028FC"/>
    <w:rsid w:val="00403B5C"/>
    <w:rsid w:val="00405D1B"/>
    <w:rsid w:val="00413C89"/>
    <w:rsid w:val="00421849"/>
    <w:rsid w:val="00423ACF"/>
    <w:rsid w:val="00424190"/>
    <w:rsid w:val="00426CE8"/>
    <w:rsid w:val="0043031D"/>
    <w:rsid w:val="004340A7"/>
    <w:rsid w:val="00434780"/>
    <w:rsid w:val="00444990"/>
    <w:rsid w:val="00461F23"/>
    <w:rsid w:val="004654E6"/>
    <w:rsid w:val="0046757C"/>
    <w:rsid w:val="00480A3B"/>
    <w:rsid w:val="00493056"/>
    <w:rsid w:val="004A07F0"/>
    <w:rsid w:val="004A12A7"/>
    <w:rsid w:val="004A4EE5"/>
    <w:rsid w:val="004C5896"/>
    <w:rsid w:val="004E3FE3"/>
    <w:rsid w:val="004F7DCB"/>
    <w:rsid w:val="0051159C"/>
    <w:rsid w:val="00520322"/>
    <w:rsid w:val="00525D06"/>
    <w:rsid w:val="005305E4"/>
    <w:rsid w:val="0053558B"/>
    <w:rsid w:val="00540517"/>
    <w:rsid w:val="005406D5"/>
    <w:rsid w:val="00542029"/>
    <w:rsid w:val="00543C24"/>
    <w:rsid w:val="00547B89"/>
    <w:rsid w:val="00547CBF"/>
    <w:rsid w:val="00561BD1"/>
    <w:rsid w:val="005720FB"/>
    <w:rsid w:val="00574BB3"/>
    <w:rsid w:val="005A22E2"/>
    <w:rsid w:val="005B030B"/>
    <w:rsid w:val="005D2A41"/>
    <w:rsid w:val="005D6709"/>
    <w:rsid w:val="005D7663"/>
    <w:rsid w:val="005F2510"/>
    <w:rsid w:val="005F6030"/>
    <w:rsid w:val="0060628F"/>
    <w:rsid w:val="00611E3A"/>
    <w:rsid w:val="00614724"/>
    <w:rsid w:val="00620426"/>
    <w:rsid w:val="006249F0"/>
    <w:rsid w:val="00626462"/>
    <w:rsid w:val="006266D2"/>
    <w:rsid w:val="00654C0A"/>
    <w:rsid w:val="006575A8"/>
    <w:rsid w:val="00657688"/>
    <w:rsid w:val="006633C7"/>
    <w:rsid w:val="00663F04"/>
    <w:rsid w:val="00665A6E"/>
    <w:rsid w:val="00665C35"/>
    <w:rsid w:val="006814BD"/>
    <w:rsid w:val="0069133F"/>
    <w:rsid w:val="006964F2"/>
    <w:rsid w:val="006B340E"/>
    <w:rsid w:val="006B461D"/>
    <w:rsid w:val="006B72C5"/>
    <w:rsid w:val="006C5A6D"/>
    <w:rsid w:val="006D3CE9"/>
    <w:rsid w:val="006D7FA7"/>
    <w:rsid w:val="006E0A2C"/>
    <w:rsid w:val="006E3E77"/>
    <w:rsid w:val="006E59F2"/>
    <w:rsid w:val="006E666B"/>
    <w:rsid w:val="006E7E0A"/>
    <w:rsid w:val="0070325F"/>
    <w:rsid w:val="00703993"/>
    <w:rsid w:val="00713960"/>
    <w:rsid w:val="00715BD2"/>
    <w:rsid w:val="00715DB2"/>
    <w:rsid w:val="0073380E"/>
    <w:rsid w:val="00743B79"/>
    <w:rsid w:val="007523BC"/>
    <w:rsid w:val="00752C48"/>
    <w:rsid w:val="00757934"/>
    <w:rsid w:val="0076216F"/>
    <w:rsid w:val="00767A23"/>
    <w:rsid w:val="007707E7"/>
    <w:rsid w:val="00773F27"/>
    <w:rsid w:val="007A05FB"/>
    <w:rsid w:val="007A18A7"/>
    <w:rsid w:val="007B5260"/>
    <w:rsid w:val="007B796A"/>
    <w:rsid w:val="007C24E7"/>
    <w:rsid w:val="007C7556"/>
    <w:rsid w:val="007D1402"/>
    <w:rsid w:val="007D4297"/>
    <w:rsid w:val="007D53F7"/>
    <w:rsid w:val="007E09D3"/>
    <w:rsid w:val="007F582F"/>
    <w:rsid w:val="007F5E64"/>
    <w:rsid w:val="007F723E"/>
    <w:rsid w:val="00800B55"/>
    <w:rsid w:val="00800FA0"/>
    <w:rsid w:val="00812370"/>
    <w:rsid w:val="0082411A"/>
    <w:rsid w:val="00825FF1"/>
    <w:rsid w:val="008276D1"/>
    <w:rsid w:val="00841628"/>
    <w:rsid w:val="00846160"/>
    <w:rsid w:val="0085193E"/>
    <w:rsid w:val="0087796F"/>
    <w:rsid w:val="00877BD2"/>
    <w:rsid w:val="00884BEE"/>
    <w:rsid w:val="00885553"/>
    <w:rsid w:val="0089277C"/>
    <w:rsid w:val="00896DA3"/>
    <w:rsid w:val="008A0BAD"/>
    <w:rsid w:val="008A3E7E"/>
    <w:rsid w:val="008B2F9D"/>
    <w:rsid w:val="008B7927"/>
    <w:rsid w:val="008C4001"/>
    <w:rsid w:val="008C7ACF"/>
    <w:rsid w:val="008D1E0B"/>
    <w:rsid w:val="008F0CC6"/>
    <w:rsid w:val="008F2F71"/>
    <w:rsid w:val="008F4658"/>
    <w:rsid w:val="008F789E"/>
    <w:rsid w:val="009136F2"/>
    <w:rsid w:val="00923034"/>
    <w:rsid w:val="009275E6"/>
    <w:rsid w:val="00933494"/>
    <w:rsid w:val="0093370E"/>
    <w:rsid w:val="00953A46"/>
    <w:rsid w:val="00961247"/>
    <w:rsid w:val="00967473"/>
    <w:rsid w:val="00973090"/>
    <w:rsid w:val="0098426A"/>
    <w:rsid w:val="00995EEC"/>
    <w:rsid w:val="009A320E"/>
    <w:rsid w:val="009A6467"/>
    <w:rsid w:val="009A6A61"/>
    <w:rsid w:val="009C15FD"/>
    <w:rsid w:val="009C6D5B"/>
    <w:rsid w:val="009D209C"/>
    <w:rsid w:val="009D26B0"/>
    <w:rsid w:val="009D372A"/>
    <w:rsid w:val="009D6623"/>
    <w:rsid w:val="009E0A34"/>
    <w:rsid w:val="009E4974"/>
    <w:rsid w:val="009F06C3"/>
    <w:rsid w:val="009F2BEE"/>
    <w:rsid w:val="00A017DF"/>
    <w:rsid w:val="00A05B09"/>
    <w:rsid w:val="00A07905"/>
    <w:rsid w:val="00A1106E"/>
    <w:rsid w:val="00A17606"/>
    <w:rsid w:val="00A204C9"/>
    <w:rsid w:val="00A22417"/>
    <w:rsid w:val="00A23742"/>
    <w:rsid w:val="00A26D67"/>
    <w:rsid w:val="00A27D08"/>
    <w:rsid w:val="00A31DC9"/>
    <w:rsid w:val="00A3247B"/>
    <w:rsid w:val="00A36493"/>
    <w:rsid w:val="00A372A8"/>
    <w:rsid w:val="00A502C6"/>
    <w:rsid w:val="00A5451F"/>
    <w:rsid w:val="00A72CF3"/>
    <w:rsid w:val="00A845A9"/>
    <w:rsid w:val="00A86310"/>
    <w:rsid w:val="00A86958"/>
    <w:rsid w:val="00A9237D"/>
    <w:rsid w:val="00AA10A3"/>
    <w:rsid w:val="00AA3482"/>
    <w:rsid w:val="00AA5651"/>
    <w:rsid w:val="00AA5848"/>
    <w:rsid w:val="00AA7750"/>
    <w:rsid w:val="00AC1193"/>
    <w:rsid w:val="00AD1973"/>
    <w:rsid w:val="00AD63EE"/>
    <w:rsid w:val="00AE064D"/>
    <w:rsid w:val="00AE3AE5"/>
    <w:rsid w:val="00AF056B"/>
    <w:rsid w:val="00B239BA"/>
    <w:rsid w:val="00B31EF7"/>
    <w:rsid w:val="00B353F7"/>
    <w:rsid w:val="00B3765D"/>
    <w:rsid w:val="00B45509"/>
    <w:rsid w:val="00B468BB"/>
    <w:rsid w:val="00B54FA8"/>
    <w:rsid w:val="00B5764E"/>
    <w:rsid w:val="00B60D18"/>
    <w:rsid w:val="00B61B2D"/>
    <w:rsid w:val="00B61ECE"/>
    <w:rsid w:val="00B707A0"/>
    <w:rsid w:val="00B74EAA"/>
    <w:rsid w:val="00B81F17"/>
    <w:rsid w:val="00BA2502"/>
    <w:rsid w:val="00BC10B9"/>
    <w:rsid w:val="00BC72F2"/>
    <w:rsid w:val="00BD46AB"/>
    <w:rsid w:val="00BF0B8D"/>
    <w:rsid w:val="00BF2C9A"/>
    <w:rsid w:val="00BF624D"/>
    <w:rsid w:val="00C0072D"/>
    <w:rsid w:val="00C033D4"/>
    <w:rsid w:val="00C04CD8"/>
    <w:rsid w:val="00C11BB6"/>
    <w:rsid w:val="00C138C1"/>
    <w:rsid w:val="00C23CC6"/>
    <w:rsid w:val="00C36707"/>
    <w:rsid w:val="00C43B4A"/>
    <w:rsid w:val="00C4741F"/>
    <w:rsid w:val="00C5658F"/>
    <w:rsid w:val="00C64FA5"/>
    <w:rsid w:val="00C66DFA"/>
    <w:rsid w:val="00C84A12"/>
    <w:rsid w:val="00C90D8A"/>
    <w:rsid w:val="00CB0E56"/>
    <w:rsid w:val="00CB51CA"/>
    <w:rsid w:val="00CC10D7"/>
    <w:rsid w:val="00CD7555"/>
    <w:rsid w:val="00CE1BC3"/>
    <w:rsid w:val="00CE59E7"/>
    <w:rsid w:val="00CF0BAB"/>
    <w:rsid w:val="00CF1361"/>
    <w:rsid w:val="00CF3DC5"/>
    <w:rsid w:val="00CF6607"/>
    <w:rsid w:val="00D017E2"/>
    <w:rsid w:val="00D022B9"/>
    <w:rsid w:val="00D15C02"/>
    <w:rsid w:val="00D16D97"/>
    <w:rsid w:val="00D24DC7"/>
    <w:rsid w:val="00D27F42"/>
    <w:rsid w:val="00D36613"/>
    <w:rsid w:val="00D470A8"/>
    <w:rsid w:val="00D61149"/>
    <w:rsid w:val="00D665A2"/>
    <w:rsid w:val="00D676A9"/>
    <w:rsid w:val="00D7047B"/>
    <w:rsid w:val="00D73F86"/>
    <w:rsid w:val="00D9018C"/>
    <w:rsid w:val="00DA1E03"/>
    <w:rsid w:val="00DA482E"/>
    <w:rsid w:val="00DB731A"/>
    <w:rsid w:val="00DC2090"/>
    <w:rsid w:val="00DC4DDF"/>
    <w:rsid w:val="00DD22B9"/>
    <w:rsid w:val="00DD4B82"/>
    <w:rsid w:val="00DE6E78"/>
    <w:rsid w:val="00DF0CB4"/>
    <w:rsid w:val="00DF3082"/>
    <w:rsid w:val="00E00398"/>
    <w:rsid w:val="00E10F8A"/>
    <w:rsid w:val="00E1556F"/>
    <w:rsid w:val="00E30B38"/>
    <w:rsid w:val="00E32D55"/>
    <w:rsid w:val="00E3419E"/>
    <w:rsid w:val="00E40D92"/>
    <w:rsid w:val="00E45F7A"/>
    <w:rsid w:val="00E47B1A"/>
    <w:rsid w:val="00E54E11"/>
    <w:rsid w:val="00E631B1"/>
    <w:rsid w:val="00E664DB"/>
    <w:rsid w:val="00E779D6"/>
    <w:rsid w:val="00E77E2C"/>
    <w:rsid w:val="00EB248F"/>
    <w:rsid w:val="00EB5F93"/>
    <w:rsid w:val="00EB71D1"/>
    <w:rsid w:val="00EC0568"/>
    <w:rsid w:val="00EC19CD"/>
    <w:rsid w:val="00ED1ECB"/>
    <w:rsid w:val="00EE3CCD"/>
    <w:rsid w:val="00EE721A"/>
    <w:rsid w:val="00EF096A"/>
    <w:rsid w:val="00F0272E"/>
    <w:rsid w:val="00F1482E"/>
    <w:rsid w:val="00F15EDD"/>
    <w:rsid w:val="00F179E6"/>
    <w:rsid w:val="00F2438B"/>
    <w:rsid w:val="00F25E5B"/>
    <w:rsid w:val="00F268C6"/>
    <w:rsid w:val="00F71135"/>
    <w:rsid w:val="00F81C33"/>
    <w:rsid w:val="00F92DAB"/>
    <w:rsid w:val="00F939F5"/>
    <w:rsid w:val="00F97613"/>
    <w:rsid w:val="00FB4030"/>
    <w:rsid w:val="00FC31E4"/>
    <w:rsid w:val="00FC627E"/>
    <w:rsid w:val="00FF0966"/>
    <w:rsid w:val="00FF0D28"/>
    <w:rsid w:val="00FF2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256074C"/>
  <w15:chartTrackingRefBased/>
  <w15:docId w15:val="{F129942D-00F9-4946-891D-293B225D6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BalloonText">
    <w:name w:val="Balloon Text"/>
    <w:basedOn w:val="Normal"/>
    <w:link w:val="BalloonTextChar"/>
    <w:rsid w:val="00CE1BC3"/>
    <w:rPr>
      <w:rFonts w:ascii="Tahoma" w:hAnsi="Tahoma" w:cs="Tahoma"/>
      <w:sz w:val="16"/>
      <w:szCs w:val="16"/>
    </w:rPr>
  </w:style>
  <w:style w:type="character" w:customStyle="1" w:styleId="BalloonTextChar">
    <w:name w:val="Balloon Text Char"/>
    <w:link w:val="BalloonText"/>
    <w:rsid w:val="00CE1BC3"/>
    <w:rPr>
      <w:rFonts w:ascii="Tahoma" w:hAnsi="Tahoma" w:cs="Tahoma"/>
      <w:sz w:val="16"/>
      <w:szCs w:val="16"/>
      <w:lang w:eastAsia="en-US"/>
    </w:rPr>
  </w:style>
  <w:style w:type="paragraph" w:customStyle="1" w:styleId="Default">
    <w:name w:val="Default"/>
    <w:rsid w:val="008F2F71"/>
    <w:pPr>
      <w:autoSpaceDE w:val="0"/>
      <w:autoSpaceDN w:val="0"/>
      <w:adjustRightInd w:val="0"/>
    </w:pPr>
    <w:rPr>
      <w:rFonts w:ascii="Frutiger LT Std 45 Light" w:hAnsi="Frutiger LT Std 45 Light" w:cs="Frutiger LT Std 45 Light"/>
      <w:color w:val="000000"/>
      <w:sz w:val="24"/>
      <w:szCs w:val="24"/>
    </w:rPr>
  </w:style>
  <w:style w:type="character" w:styleId="CommentReference">
    <w:name w:val="annotation reference"/>
    <w:rsid w:val="00E40D92"/>
    <w:rPr>
      <w:sz w:val="16"/>
      <w:szCs w:val="16"/>
    </w:rPr>
  </w:style>
  <w:style w:type="paragraph" w:styleId="CommentText">
    <w:name w:val="annotation text"/>
    <w:basedOn w:val="Normal"/>
    <w:link w:val="CommentTextChar"/>
    <w:rsid w:val="00E40D92"/>
    <w:rPr>
      <w:sz w:val="20"/>
    </w:rPr>
  </w:style>
  <w:style w:type="character" w:customStyle="1" w:styleId="CommentTextChar">
    <w:name w:val="Comment Text Char"/>
    <w:link w:val="CommentText"/>
    <w:rsid w:val="00E40D92"/>
    <w:rPr>
      <w:rFonts w:ascii="TradeGothic" w:hAnsi="TradeGothic"/>
      <w:lang w:eastAsia="en-US"/>
    </w:rPr>
  </w:style>
  <w:style w:type="paragraph" w:styleId="CommentSubject">
    <w:name w:val="annotation subject"/>
    <w:basedOn w:val="CommentText"/>
    <w:next w:val="CommentText"/>
    <w:link w:val="CommentSubjectChar"/>
    <w:rsid w:val="00E40D92"/>
    <w:rPr>
      <w:b/>
      <w:bCs/>
    </w:rPr>
  </w:style>
  <w:style w:type="character" w:customStyle="1" w:styleId="CommentSubjectChar">
    <w:name w:val="Comment Subject Char"/>
    <w:link w:val="CommentSubject"/>
    <w:rsid w:val="00E40D92"/>
    <w:rPr>
      <w:rFonts w:ascii="TradeGothic" w:hAnsi="TradeGothic"/>
      <w:b/>
      <w:bCs/>
      <w:lang w:eastAsia="en-US"/>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DA482E"/>
    <w:pPr>
      <w:spacing w:after="200" w:line="276" w:lineRule="auto"/>
      <w:ind w:left="720"/>
      <w:contextualSpacing/>
    </w:pPr>
    <w:rPr>
      <w:rFonts w:ascii="Arial" w:eastAsia="Calibri" w:hAnsi="Arial"/>
      <w:sz w:val="24"/>
      <w:szCs w:val="22"/>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DA482E"/>
    <w:rPr>
      <w:rFonts w:ascii="Arial" w:eastAsia="Calibri"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552850">
      <w:bodyDiv w:val="1"/>
      <w:marLeft w:val="0"/>
      <w:marRight w:val="0"/>
      <w:marTop w:val="0"/>
      <w:marBottom w:val="0"/>
      <w:divBdr>
        <w:top w:val="none" w:sz="0" w:space="0" w:color="auto"/>
        <w:left w:val="none" w:sz="0" w:space="0" w:color="auto"/>
        <w:bottom w:val="none" w:sz="0" w:space="0" w:color="auto"/>
        <w:right w:val="none" w:sz="0" w:space="0" w:color="auto"/>
      </w:divBdr>
    </w:div>
    <w:div w:id="957875675">
      <w:bodyDiv w:val="1"/>
      <w:marLeft w:val="0"/>
      <w:marRight w:val="0"/>
      <w:marTop w:val="0"/>
      <w:marBottom w:val="0"/>
      <w:divBdr>
        <w:top w:val="none" w:sz="0" w:space="0" w:color="auto"/>
        <w:left w:val="none" w:sz="0" w:space="0" w:color="auto"/>
        <w:bottom w:val="none" w:sz="0" w:space="0" w:color="auto"/>
        <w:right w:val="none" w:sz="0" w:space="0" w:color="auto"/>
      </w:divBdr>
    </w:div>
    <w:div w:id="136860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awttc.org/ipf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2019-10-02T23:00:00+00:00</Meeting_x0020_Date>
    <Assembly xmlns="a4e7e3ba-90a1-4b0a-844f-73b076486bd6">5</Assembly>
  </documentManagement>
</p:properties>
</file>

<file path=customXml/item3.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F26E0C-65C4-4B41-B795-5DD6F588315A}">
  <ds:schemaRefs>
    <ds:schemaRef ds:uri="http://schemas.microsoft.com/sharepoint/v3/contenttype/forms"/>
  </ds:schemaRefs>
</ds:datastoreItem>
</file>

<file path=customXml/itemProps2.xml><?xml version="1.0" encoding="utf-8"?>
<ds:datastoreItem xmlns:ds="http://schemas.openxmlformats.org/officeDocument/2006/customXml" ds:itemID="{E290FAE0-B9F8-4CAD-AF94-6E23B988E592}">
  <ds:schemaRefs>
    <ds:schemaRef ds:uri="http://purl.org/dc/elements/1.1/"/>
    <ds:schemaRef ds:uri="http://schemas.microsoft.com/office/2006/metadata/propertie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5D94F9E-3CC0-4A9D-A009-4ED554235367}"/>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3107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3645</CharactersWithSpaces>
  <SharedDoc>false</SharedDoc>
  <HLinks>
    <vt:vector size="6" baseType="variant">
      <vt:variant>
        <vt:i4>3801137</vt:i4>
      </vt:variant>
      <vt:variant>
        <vt:i4>0</vt:i4>
      </vt:variant>
      <vt:variant>
        <vt:i4>0</vt:i4>
      </vt:variant>
      <vt:variant>
        <vt:i4>5</vt:i4>
      </vt:variant>
      <vt:variant>
        <vt:lpwstr>https://www.awttc.org/ipfr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Individual Patient Funding Request (IPFR) Report, 2018-19</dc:title>
  <dc:subject/>
  <dc:creator>burnsc</dc:creator>
  <cp:keywords/>
  <cp:lastModifiedBy>Oxenham, James (OFM - Cabinet Division)</cp:lastModifiedBy>
  <cp:revision>2</cp:revision>
  <cp:lastPrinted>2011-05-27T09:19:00Z</cp:lastPrinted>
  <dcterms:created xsi:type="dcterms:W3CDTF">2019-10-02T15:20:00Z</dcterms:created>
  <dcterms:modified xsi:type="dcterms:W3CDTF">2019-10-02T15:20:00Z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A27639835</vt:lpwstr>
  </property>
  <property fmtid="{D5CDD505-2E9C-101B-9397-08002B2CF9AE}" pid="4" name="Objective-Title">
    <vt:lpwstr>MA (P) VG/3127/19 Annual Individual Patient Funding Request (IPFR) Report, 2018-19 - Doc 2 - Written Statement En</vt:lpwstr>
  </property>
  <property fmtid="{D5CDD505-2E9C-101B-9397-08002B2CF9AE}" pid="5" name="Objective-Comment">
    <vt:lpwstr/>
  </property>
  <property fmtid="{D5CDD505-2E9C-101B-9397-08002B2CF9AE}" pid="6" name="Objective-CreationStamp">
    <vt:filetime>2019-10-02T08:22:17Z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2019-10-02T08:35:02Z</vt:filetime>
  </property>
  <property fmtid="{D5CDD505-2E9C-101B-9397-08002B2CF9AE}" pid="10" name="Objective-ModificationStamp">
    <vt:filetime>2019-10-02T08:35:02Z</vt:filetime>
  </property>
  <property fmtid="{D5CDD505-2E9C-101B-9397-08002B2CF9AE}" pid="11" name="Objective-Owner">
    <vt:lpwstr>Morton, Miranda (HSS - Primary Care &amp; Health Science)</vt:lpwstr>
  </property>
  <property fmtid="{D5CDD505-2E9C-101B-9397-08002B2CF9AE}" pid="12" name="Objective-Path">
    <vt:lpwstr>Objective Global Folder:Business File Plan:Health &amp; Social Services (HSS):Health &amp; Social Services (HSS) - PCI - Primary Care:1 - Save:Pharmacy &amp; Prescribing:Ministerial Advice:Current files:Vaughan Gething - Minister for Health &amp; Social Services - Ministerial Advice - Policy - Pharmacy &amp; Prescribing - 2019-2020:MA - P/VG/3127/19 Annual Individual Patient Funding Request (IPFR) Report, 2018-19:</vt:lpwstr>
  </property>
  <property fmtid="{D5CDD505-2E9C-101B-9397-08002B2CF9AE}" pid="13" name="Objective-Parent">
    <vt:lpwstr>MA - P/VG/3127/19 Annual Individual Patient Funding Request (IPFR) Report, 2018-19</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2017-04-27T23:00:00Z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Language">
    <vt:lpwstr>English (eng)</vt:lpwstr>
  </property>
  <property fmtid="{D5CDD505-2E9C-101B-9397-08002B2CF9AE}" pid="27" name="Objective-Date Acquired">
    <vt:lpwstr/>
  </property>
  <property fmtid="{D5CDD505-2E9C-101B-9397-08002B2CF9AE}" pid="28" name="Objective-What to Keep">
    <vt:lpwstr>No</vt:lpwstr>
  </property>
  <property fmtid="{D5CDD505-2E9C-101B-9397-08002B2CF9AE}" pid="29" name="Objective-Official Translation">
    <vt:lpwstr/>
  </property>
  <property fmtid="{D5CDD505-2E9C-101B-9397-08002B2CF9AE}" pid="30" name="Objective-Connect Creator">
    <vt:lpwstr/>
  </property>
  <property fmtid="{D5CDD505-2E9C-101B-9397-08002B2CF9AE}" pid="31" name="ContentTypeId">
    <vt:lpwstr>0x010100C32B317B5CB4014E8FDC61FB98CB49750066DDDDA8424970449BEE8C4A4D2809D6</vt:lpwstr>
  </property>
</Properties>
</file>