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406C0" w14:textId="77777777" w:rsidR="00B34687" w:rsidRDefault="00B34687">
      <w:pPr>
        <w:pStyle w:val="BodyText"/>
        <w:rPr>
          <w:rFonts w:ascii="Times New Roman"/>
          <w:sz w:val="20"/>
        </w:rPr>
      </w:pPr>
    </w:p>
    <w:p w14:paraId="32F406C1" w14:textId="77777777" w:rsidR="00B34687" w:rsidRDefault="00B34687">
      <w:pPr>
        <w:pStyle w:val="BodyText"/>
        <w:spacing w:before="7"/>
        <w:rPr>
          <w:rFonts w:ascii="Times New Roman"/>
          <w:sz w:val="22"/>
        </w:rPr>
      </w:pPr>
    </w:p>
    <w:p w14:paraId="32F406C4" w14:textId="0E41A16D" w:rsidR="00B34687" w:rsidRDefault="00000000" w:rsidP="006F0570">
      <w:pPr>
        <w:pStyle w:val="BodyText"/>
        <w:ind w:left="187" w:right="4577" w:hanging="68"/>
      </w:pPr>
      <w:r>
        <w:rPr>
          <w:noProof/>
        </w:rPr>
        <w:drawing>
          <wp:anchor distT="0" distB="0" distL="0" distR="0" simplePos="0" relativeHeight="15729664" behindDoc="0" locked="0" layoutInCell="1" allowOverlap="1" wp14:anchorId="32F406F6" wp14:editId="32F406F7">
            <wp:simplePos x="0" y="0"/>
            <wp:positionH relativeFrom="page">
              <wp:posOffset>5160022</wp:posOffset>
            </wp:positionH>
            <wp:positionV relativeFrom="paragraph">
              <wp:posOffset>-311456</wp:posOffset>
            </wp:positionV>
            <wp:extent cx="1476362" cy="140017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476362" cy="1400173"/>
                    </a:xfrm>
                    <a:prstGeom prst="rect">
                      <a:avLst/>
                    </a:prstGeom>
                  </pic:spPr>
                </pic:pic>
              </a:graphicData>
            </a:graphic>
          </wp:anchor>
        </w:drawing>
      </w:r>
    </w:p>
    <w:p w14:paraId="079E60DB" w14:textId="77777777" w:rsidR="006F0570" w:rsidRDefault="006F0570" w:rsidP="006F0570">
      <w:pPr>
        <w:pStyle w:val="BodyText"/>
        <w:ind w:left="187" w:right="4577" w:hanging="68"/>
      </w:pPr>
    </w:p>
    <w:p w14:paraId="43C5A4FF" w14:textId="77777777" w:rsidR="006F0570" w:rsidRDefault="006F0570" w:rsidP="006F0570">
      <w:pPr>
        <w:pStyle w:val="BodyText"/>
        <w:ind w:left="187" w:right="4577" w:hanging="68"/>
      </w:pPr>
    </w:p>
    <w:p w14:paraId="0A794E96" w14:textId="77777777" w:rsidR="006F0570" w:rsidRPr="006F0570" w:rsidRDefault="006F0570" w:rsidP="006F0570">
      <w:pPr>
        <w:pStyle w:val="BodyText"/>
        <w:ind w:left="187" w:right="4577" w:hanging="68"/>
      </w:pPr>
    </w:p>
    <w:p w14:paraId="32F406C5" w14:textId="77777777" w:rsidR="00B34687" w:rsidRDefault="00B34687">
      <w:pPr>
        <w:pStyle w:val="BodyText"/>
        <w:rPr>
          <w:sz w:val="20"/>
        </w:rPr>
      </w:pPr>
    </w:p>
    <w:p w14:paraId="32F406C6" w14:textId="77777777" w:rsidR="00B34687" w:rsidRDefault="00B34687">
      <w:pPr>
        <w:pStyle w:val="BodyText"/>
        <w:rPr>
          <w:sz w:val="20"/>
        </w:rPr>
      </w:pPr>
    </w:p>
    <w:p w14:paraId="32F406C7" w14:textId="77777777" w:rsidR="00B34687" w:rsidRDefault="00000000">
      <w:pPr>
        <w:pStyle w:val="BodyText"/>
        <w:spacing w:before="4"/>
        <w:rPr>
          <w:sz w:val="27"/>
        </w:rPr>
      </w:pPr>
      <w:r>
        <w:pict w14:anchorId="32F406F8">
          <v:shape id="docshape1" o:spid="_x0000_s1027" style="position:absolute;margin-left:75.7pt;margin-top:16.95pt;width:417.6pt;height:.1pt;z-index:-15728640;mso-wrap-distance-left:0;mso-wrap-distance-right:0;mso-position-horizontal-relative:page" coordorigin="1514,339" coordsize="8352,0" path="m1514,339r8352,e" filled="f" strokecolor="red" strokeweight="1.5pt">
            <v:path arrowok="t"/>
            <w10:wrap type="topAndBottom" anchorx="page"/>
          </v:shape>
        </w:pict>
      </w:r>
    </w:p>
    <w:p w14:paraId="32F406C8" w14:textId="77777777" w:rsidR="00B34687" w:rsidRDefault="00B34687">
      <w:pPr>
        <w:pStyle w:val="BodyText"/>
        <w:spacing w:before="1"/>
        <w:rPr>
          <w:sz w:val="10"/>
        </w:rPr>
      </w:pPr>
    </w:p>
    <w:p w14:paraId="32F406C9" w14:textId="77777777" w:rsidR="00B34687" w:rsidRDefault="00000000">
      <w:pPr>
        <w:pStyle w:val="Title"/>
        <w:spacing w:before="84"/>
        <w:ind w:left="2359" w:right="2355"/>
      </w:pPr>
      <w:bookmarkStart w:id="0" w:name="WRITTEN_STATEMENT"/>
      <w:bookmarkEnd w:id="0"/>
      <w:r>
        <w:rPr>
          <w:color w:val="FF0000"/>
        </w:rPr>
        <w:t>WRITTEN</w:t>
      </w:r>
      <w:r>
        <w:rPr>
          <w:color w:val="FF0000"/>
          <w:spacing w:val="-25"/>
        </w:rPr>
        <w:t xml:space="preserve"> </w:t>
      </w:r>
      <w:r>
        <w:rPr>
          <w:color w:val="FF0000"/>
        </w:rPr>
        <w:t xml:space="preserve">STATEMENT </w:t>
      </w:r>
      <w:bookmarkStart w:id="1" w:name="BY"/>
      <w:bookmarkEnd w:id="1"/>
      <w:r>
        <w:rPr>
          <w:color w:val="FF0000"/>
          <w:spacing w:val="-6"/>
        </w:rPr>
        <w:t>BY</w:t>
      </w:r>
    </w:p>
    <w:p w14:paraId="32F406CA" w14:textId="77777777" w:rsidR="00B34687" w:rsidRDefault="00000000">
      <w:pPr>
        <w:pStyle w:val="Title"/>
        <w:spacing w:line="459" w:lineRule="exact"/>
      </w:pPr>
      <w:bookmarkStart w:id="2" w:name="THE_WELSH_GOVERNMENT"/>
      <w:bookmarkEnd w:id="2"/>
      <w:r>
        <w:rPr>
          <w:color w:val="FF0000"/>
        </w:rPr>
        <w:t>THE</w:t>
      </w:r>
      <w:r>
        <w:rPr>
          <w:color w:val="FF0000"/>
          <w:spacing w:val="-2"/>
        </w:rPr>
        <w:t xml:space="preserve"> </w:t>
      </w:r>
      <w:r>
        <w:rPr>
          <w:color w:val="FF0000"/>
        </w:rPr>
        <w:t>WELSH</w:t>
      </w:r>
      <w:r>
        <w:rPr>
          <w:color w:val="FF0000"/>
          <w:spacing w:val="-3"/>
        </w:rPr>
        <w:t xml:space="preserve"> </w:t>
      </w:r>
      <w:r>
        <w:rPr>
          <w:color w:val="FF0000"/>
          <w:spacing w:val="-2"/>
        </w:rPr>
        <w:t>GOVERNMENT</w:t>
      </w:r>
    </w:p>
    <w:p w14:paraId="32F406CB" w14:textId="77777777" w:rsidR="00B34687" w:rsidRDefault="00000000">
      <w:pPr>
        <w:pStyle w:val="BodyText"/>
        <w:spacing w:before="4"/>
        <w:rPr>
          <w:rFonts w:ascii="Times New Roman"/>
          <w:b/>
          <w:sz w:val="15"/>
        </w:rPr>
      </w:pPr>
      <w:r>
        <w:pict w14:anchorId="32F406F9">
          <v:shape id="docshape2" o:spid="_x0000_s1026" style="position:absolute;margin-left:75.7pt;margin-top:10.05pt;width:417.6pt;height:.1pt;z-index:-15728128;mso-wrap-distance-left:0;mso-wrap-distance-right:0;mso-position-horizontal-relative:page" coordorigin="1514,201" coordsize="8352,0" path="m1514,201r8352,e" filled="f" strokecolor="red" strokeweight="1.5pt">
            <v:path arrowok="t"/>
            <w10:wrap type="topAndBottom" anchorx="page"/>
          </v:shape>
        </w:pict>
      </w:r>
    </w:p>
    <w:p w14:paraId="32F406CC" w14:textId="77777777" w:rsidR="00B34687" w:rsidRDefault="00B34687">
      <w:pPr>
        <w:pStyle w:val="BodyText"/>
        <w:rPr>
          <w:rFonts w:ascii="Times New Roman"/>
          <w:b/>
          <w:sz w:val="20"/>
        </w:rPr>
      </w:pPr>
    </w:p>
    <w:p w14:paraId="32F406CD" w14:textId="77777777" w:rsidR="00B34687" w:rsidRDefault="00B34687">
      <w:pPr>
        <w:pStyle w:val="BodyText"/>
        <w:rPr>
          <w:rFonts w:ascii="Times New Roman"/>
          <w:b/>
          <w:sz w:val="20"/>
        </w:rPr>
      </w:pPr>
    </w:p>
    <w:p w14:paraId="32F406CE" w14:textId="77777777" w:rsidR="00B34687" w:rsidRDefault="00B34687">
      <w:pPr>
        <w:pStyle w:val="BodyText"/>
        <w:spacing w:before="10"/>
        <w:rPr>
          <w:rFonts w:ascii="Times New Roman"/>
          <w:b/>
          <w:sz w:val="28"/>
        </w:rPr>
      </w:pPr>
    </w:p>
    <w:tbl>
      <w:tblPr>
        <w:tblW w:w="0" w:type="auto"/>
        <w:tblInd w:w="185" w:type="dxa"/>
        <w:tblLayout w:type="fixed"/>
        <w:tblCellMar>
          <w:left w:w="0" w:type="dxa"/>
          <w:right w:w="0" w:type="dxa"/>
        </w:tblCellMar>
        <w:tblLook w:val="01E0" w:firstRow="1" w:lastRow="1" w:firstColumn="1" w:lastColumn="1" w:noHBand="0" w:noVBand="0"/>
      </w:tblPr>
      <w:tblGrid>
        <w:gridCol w:w="1076"/>
        <w:gridCol w:w="7491"/>
      </w:tblGrid>
      <w:tr w:rsidR="00B34687" w14:paraId="32F406D1" w14:textId="77777777">
        <w:trPr>
          <w:trHeight w:val="608"/>
        </w:trPr>
        <w:tc>
          <w:tcPr>
            <w:tcW w:w="1076" w:type="dxa"/>
          </w:tcPr>
          <w:p w14:paraId="32F406CF" w14:textId="77777777" w:rsidR="00B34687" w:rsidRDefault="00000000">
            <w:pPr>
              <w:pStyle w:val="TableParagraph"/>
              <w:spacing w:before="52"/>
              <w:rPr>
                <w:b/>
                <w:sz w:val="24"/>
              </w:rPr>
            </w:pPr>
            <w:r>
              <w:rPr>
                <w:b/>
                <w:spacing w:val="-2"/>
                <w:sz w:val="24"/>
              </w:rPr>
              <w:t>TITLE</w:t>
            </w:r>
          </w:p>
        </w:tc>
        <w:tc>
          <w:tcPr>
            <w:tcW w:w="7491" w:type="dxa"/>
          </w:tcPr>
          <w:p w14:paraId="32F406D0" w14:textId="77777777" w:rsidR="00B34687" w:rsidRDefault="00000000">
            <w:pPr>
              <w:pStyle w:val="TableParagraph"/>
              <w:ind w:left="356"/>
              <w:rPr>
                <w:b/>
                <w:sz w:val="24"/>
              </w:rPr>
            </w:pPr>
            <w:r>
              <w:rPr>
                <w:b/>
                <w:sz w:val="24"/>
              </w:rPr>
              <w:t>The</w:t>
            </w:r>
            <w:r>
              <w:rPr>
                <w:b/>
                <w:spacing w:val="-8"/>
                <w:sz w:val="24"/>
              </w:rPr>
              <w:t xml:space="preserve"> </w:t>
            </w:r>
            <w:r>
              <w:rPr>
                <w:b/>
                <w:sz w:val="24"/>
              </w:rPr>
              <w:t>Plant</w:t>
            </w:r>
            <w:r>
              <w:rPr>
                <w:b/>
                <w:spacing w:val="-8"/>
                <w:sz w:val="24"/>
              </w:rPr>
              <w:t xml:space="preserve"> </w:t>
            </w:r>
            <w:r>
              <w:rPr>
                <w:b/>
                <w:sz w:val="24"/>
              </w:rPr>
              <w:t>Protection</w:t>
            </w:r>
            <w:r>
              <w:rPr>
                <w:b/>
                <w:spacing w:val="-10"/>
                <w:sz w:val="24"/>
              </w:rPr>
              <w:t xml:space="preserve"> </w:t>
            </w:r>
            <w:r>
              <w:rPr>
                <w:b/>
                <w:sz w:val="24"/>
              </w:rPr>
              <w:t>Products</w:t>
            </w:r>
            <w:r>
              <w:rPr>
                <w:b/>
                <w:spacing w:val="-6"/>
                <w:sz w:val="24"/>
              </w:rPr>
              <w:t xml:space="preserve"> </w:t>
            </w:r>
            <w:r>
              <w:rPr>
                <w:b/>
                <w:sz w:val="24"/>
              </w:rPr>
              <w:t>(Miscellaneous</w:t>
            </w:r>
            <w:r>
              <w:rPr>
                <w:b/>
                <w:spacing w:val="-6"/>
                <w:sz w:val="24"/>
              </w:rPr>
              <w:t xml:space="preserve"> </w:t>
            </w:r>
            <w:r>
              <w:rPr>
                <w:b/>
                <w:sz w:val="24"/>
              </w:rPr>
              <w:t>Amendments) Regulations 2023</w:t>
            </w:r>
          </w:p>
        </w:tc>
      </w:tr>
      <w:tr w:rsidR="00B34687" w14:paraId="32F406D4" w14:textId="77777777">
        <w:trPr>
          <w:trHeight w:val="466"/>
        </w:trPr>
        <w:tc>
          <w:tcPr>
            <w:tcW w:w="1076" w:type="dxa"/>
          </w:tcPr>
          <w:p w14:paraId="32F406D2" w14:textId="77777777" w:rsidR="00B34687" w:rsidRDefault="00000000">
            <w:pPr>
              <w:pStyle w:val="TableParagraph"/>
              <w:spacing w:before="56"/>
              <w:rPr>
                <w:b/>
                <w:sz w:val="24"/>
              </w:rPr>
            </w:pPr>
            <w:r>
              <w:rPr>
                <w:b/>
                <w:spacing w:val="-4"/>
                <w:sz w:val="24"/>
              </w:rPr>
              <w:t>DATE</w:t>
            </w:r>
          </w:p>
        </w:tc>
        <w:tc>
          <w:tcPr>
            <w:tcW w:w="7491" w:type="dxa"/>
          </w:tcPr>
          <w:p w14:paraId="32F406D3" w14:textId="77777777" w:rsidR="00B34687" w:rsidRDefault="00000000">
            <w:pPr>
              <w:pStyle w:val="TableParagraph"/>
              <w:spacing w:before="56"/>
              <w:ind w:left="356"/>
              <w:rPr>
                <w:b/>
                <w:sz w:val="24"/>
              </w:rPr>
            </w:pPr>
            <w:r>
              <w:rPr>
                <w:b/>
                <w:sz w:val="24"/>
              </w:rPr>
              <w:t>24</w:t>
            </w:r>
            <w:r>
              <w:rPr>
                <w:b/>
                <w:spacing w:val="-2"/>
                <w:sz w:val="24"/>
              </w:rPr>
              <w:t xml:space="preserve"> </w:t>
            </w:r>
            <w:r>
              <w:rPr>
                <w:b/>
                <w:sz w:val="24"/>
              </w:rPr>
              <w:t>October</w:t>
            </w:r>
            <w:r>
              <w:rPr>
                <w:b/>
                <w:spacing w:val="-2"/>
                <w:sz w:val="24"/>
              </w:rPr>
              <w:t xml:space="preserve"> </w:t>
            </w:r>
            <w:r>
              <w:rPr>
                <w:b/>
                <w:spacing w:val="-4"/>
                <w:sz w:val="24"/>
              </w:rPr>
              <w:t>2023</w:t>
            </w:r>
          </w:p>
        </w:tc>
      </w:tr>
      <w:tr w:rsidR="00B34687" w14:paraId="32F406D8" w14:textId="77777777">
        <w:trPr>
          <w:trHeight w:val="700"/>
        </w:trPr>
        <w:tc>
          <w:tcPr>
            <w:tcW w:w="1076" w:type="dxa"/>
          </w:tcPr>
          <w:p w14:paraId="32F406D5" w14:textId="77777777" w:rsidR="00B34687" w:rsidRDefault="00B34687">
            <w:pPr>
              <w:pStyle w:val="TableParagraph"/>
              <w:spacing w:before="11"/>
              <w:ind w:left="0"/>
              <w:rPr>
                <w:rFonts w:ascii="Times New Roman"/>
                <w:b/>
                <w:sz w:val="23"/>
              </w:rPr>
            </w:pPr>
          </w:p>
          <w:p w14:paraId="32F406D6" w14:textId="77777777" w:rsidR="00B34687" w:rsidRDefault="00000000">
            <w:pPr>
              <w:pStyle w:val="TableParagraph"/>
              <w:rPr>
                <w:b/>
                <w:sz w:val="24"/>
              </w:rPr>
            </w:pPr>
            <w:r>
              <w:rPr>
                <w:b/>
                <w:spacing w:val="-5"/>
                <w:sz w:val="24"/>
              </w:rPr>
              <w:t>BY</w:t>
            </w:r>
          </w:p>
        </w:tc>
        <w:tc>
          <w:tcPr>
            <w:tcW w:w="7491" w:type="dxa"/>
          </w:tcPr>
          <w:p w14:paraId="32F406D7" w14:textId="77777777" w:rsidR="00B34687" w:rsidRDefault="00000000">
            <w:pPr>
              <w:pStyle w:val="TableParagraph"/>
              <w:spacing w:before="100" w:line="290" w:lineRule="atLeast"/>
              <w:ind w:left="356"/>
              <w:rPr>
                <w:b/>
                <w:sz w:val="24"/>
              </w:rPr>
            </w:pPr>
            <w:r>
              <w:rPr>
                <w:b/>
                <w:sz w:val="24"/>
              </w:rPr>
              <w:t>Lesley</w:t>
            </w:r>
            <w:r>
              <w:rPr>
                <w:b/>
                <w:spacing w:val="-3"/>
                <w:sz w:val="24"/>
              </w:rPr>
              <w:t xml:space="preserve"> </w:t>
            </w:r>
            <w:r>
              <w:rPr>
                <w:b/>
                <w:sz w:val="24"/>
              </w:rPr>
              <w:t>Griffiths</w:t>
            </w:r>
            <w:r>
              <w:rPr>
                <w:b/>
                <w:spacing w:val="-3"/>
                <w:sz w:val="24"/>
              </w:rPr>
              <w:t xml:space="preserve"> </w:t>
            </w:r>
            <w:r>
              <w:rPr>
                <w:b/>
                <w:sz w:val="24"/>
              </w:rPr>
              <w:t>MS,</w:t>
            </w:r>
            <w:r>
              <w:rPr>
                <w:b/>
                <w:spacing w:val="-8"/>
                <w:sz w:val="24"/>
              </w:rPr>
              <w:t xml:space="preserve"> </w:t>
            </w:r>
            <w:r>
              <w:rPr>
                <w:b/>
                <w:sz w:val="24"/>
              </w:rPr>
              <w:t>Minister</w:t>
            </w:r>
            <w:r>
              <w:rPr>
                <w:b/>
                <w:spacing w:val="-4"/>
                <w:sz w:val="24"/>
              </w:rPr>
              <w:t xml:space="preserve"> </w:t>
            </w:r>
            <w:r>
              <w:rPr>
                <w:b/>
                <w:sz w:val="24"/>
              </w:rPr>
              <w:t>for</w:t>
            </w:r>
            <w:r>
              <w:rPr>
                <w:b/>
                <w:spacing w:val="-4"/>
                <w:sz w:val="24"/>
              </w:rPr>
              <w:t xml:space="preserve"> </w:t>
            </w:r>
            <w:r>
              <w:rPr>
                <w:b/>
                <w:sz w:val="24"/>
              </w:rPr>
              <w:t>Rural</w:t>
            </w:r>
            <w:r>
              <w:rPr>
                <w:b/>
                <w:spacing w:val="-4"/>
                <w:sz w:val="24"/>
              </w:rPr>
              <w:t xml:space="preserve"> </w:t>
            </w:r>
            <w:r>
              <w:rPr>
                <w:b/>
                <w:sz w:val="24"/>
              </w:rPr>
              <w:t>Affairs</w:t>
            </w:r>
            <w:r>
              <w:rPr>
                <w:b/>
                <w:spacing w:val="-5"/>
                <w:sz w:val="24"/>
              </w:rPr>
              <w:t xml:space="preserve"> </w:t>
            </w:r>
            <w:r>
              <w:rPr>
                <w:b/>
                <w:sz w:val="24"/>
              </w:rPr>
              <w:t>and</w:t>
            </w:r>
            <w:r>
              <w:rPr>
                <w:b/>
                <w:spacing w:val="-4"/>
                <w:sz w:val="24"/>
              </w:rPr>
              <w:t xml:space="preserve"> </w:t>
            </w:r>
            <w:r>
              <w:rPr>
                <w:b/>
                <w:sz w:val="24"/>
              </w:rPr>
              <w:t>North</w:t>
            </w:r>
            <w:r>
              <w:rPr>
                <w:b/>
                <w:spacing w:val="-4"/>
                <w:sz w:val="24"/>
              </w:rPr>
              <w:t xml:space="preserve"> </w:t>
            </w:r>
            <w:r>
              <w:rPr>
                <w:b/>
                <w:sz w:val="24"/>
              </w:rPr>
              <w:t>Wales and Trefnydd</w:t>
            </w:r>
          </w:p>
        </w:tc>
      </w:tr>
    </w:tbl>
    <w:p w14:paraId="32F406D9" w14:textId="77777777" w:rsidR="00B34687" w:rsidRDefault="00B34687">
      <w:pPr>
        <w:pStyle w:val="BodyText"/>
        <w:rPr>
          <w:rFonts w:ascii="Times New Roman"/>
          <w:b/>
          <w:sz w:val="20"/>
        </w:rPr>
      </w:pPr>
    </w:p>
    <w:p w14:paraId="32F406DA" w14:textId="77777777" w:rsidR="00B34687" w:rsidRDefault="00B34687">
      <w:pPr>
        <w:pStyle w:val="BodyText"/>
        <w:rPr>
          <w:rFonts w:ascii="Times New Roman"/>
          <w:b/>
          <w:sz w:val="20"/>
        </w:rPr>
      </w:pPr>
    </w:p>
    <w:p w14:paraId="32F406DB" w14:textId="77777777" w:rsidR="00B34687" w:rsidRDefault="00000000">
      <w:pPr>
        <w:pStyle w:val="BodyText"/>
        <w:spacing w:before="223"/>
        <w:ind w:left="120" w:right="116"/>
        <w:jc w:val="both"/>
      </w:pPr>
      <w:r>
        <w:t>Members of the Senedd will wish to be aware</w:t>
      </w:r>
      <w:r>
        <w:rPr>
          <w:spacing w:val="-1"/>
        </w:rPr>
        <w:t xml:space="preserve"> </w:t>
      </w:r>
      <w:r>
        <w:t>we are giving consent</w:t>
      </w:r>
      <w:r>
        <w:rPr>
          <w:spacing w:val="-1"/>
        </w:rPr>
        <w:t xml:space="preserve"> </w:t>
      </w:r>
      <w:r>
        <w:t>to the</w:t>
      </w:r>
      <w:r>
        <w:rPr>
          <w:spacing w:val="-1"/>
        </w:rPr>
        <w:t xml:space="preserve"> </w:t>
      </w:r>
      <w:r>
        <w:t>Secretary of State exercising a subordinate legislation-making power in a Devolved area in relation to Wales.</w:t>
      </w:r>
    </w:p>
    <w:p w14:paraId="32F406DC" w14:textId="77777777" w:rsidR="00B34687" w:rsidRDefault="00B34687">
      <w:pPr>
        <w:pStyle w:val="BodyText"/>
      </w:pPr>
    </w:p>
    <w:p w14:paraId="32F406DD" w14:textId="77777777" w:rsidR="00B34687" w:rsidRDefault="00000000">
      <w:pPr>
        <w:pStyle w:val="BodyText"/>
        <w:ind w:left="120" w:right="114"/>
        <w:jc w:val="both"/>
      </w:pPr>
      <w:r>
        <w:t>Agreement was sought by Rebecca Pow MP, the Minister for Environmental Quality and Resilience on behalf of Lord Benyon, Minister for Biosecurity, Marine and Rural Affairs at the Department for Environment, Food and Rural Affairs (DEFRA) to make a Statutory Instrument (SI) titled The Plant Protection Products (Miscellaneous Amendment) Regulations 2023 (the “Regulations”).</w:t>
      </w:r>
    </w:p>
    <w:p w14:paraId="32F406DE" w14:textId="77777777" w:rsidR="00B34687" w:rsidRDefault="00B34687">
      <w:pPr>
        <w:pStyle w:val="BodyText"/>
      </w:pPr>
    </w:p>
    <w:p w14:paraId="32F406DF" w14:textId="77777777" w:rsidR="00B34687" w:rsidRDefault="00000000">
      <w:pPr>
        <w:pStyle w:val="BodyText"/>
        <w:ind w:left="120" w:right="115"/>
        <w:jc w:val="both"/>
      </w:pPr>
      <w:r>
        <w:t>The above titled SI will be made by the Secretary of State, in exercise of the powers conferred</w:t>
      </w:r>
      <w:r>
        <w:rPr>
          <w:spacing w:val="-11"/>
        </w:rPr>
        <w:t xml:space="preserve"> </w:t>
      </w:r>
      <w:r>
        <w:t>by</w:t>
      </w:r>
      <w:r>
        <w:rPr>
          <w:spacing w:val="-14"/>
        </w:rPr>
        <w:t xml:space="preserve"> </w:t>
      </w:r>
      <w:r>
        <w:t>sections</w:t>
      </w:r>
      <w:r>
        <w:rPr>
          <w:spacing w:val="-14"/>
        </w:rPr>
        <w:t xml:space="preserve"> </w:t>
      </w:r>
      <w:r>
        <w:t>14(2),</w:t>
      </w:r>
      <w:r>
        <w:rPr>
          <w:spacing w:val="-11"/>
        </w:rPr>
        <w:t xml:space="preserve"> </w:t>
      </w:r>
      <w:r>
        <w:t>(4)(b)</w:t>
      </w:r>
      <w:r>
        <w:rPr>
          <w:spacing w:val="-12"/>
        </w:rPr>
        <w:t xml:space="preserve"> </w:t>
      </w:r>
      <w:r>
        <w:t>and</w:t>
      </w:r>
      <w:r>
        <w:rPr>
          <w:spacing w:val="-11"/>
        </w:rPr>
        <w:t xml:space="preserve"> </w:t>
      </w:r>
      <w:r>
        <w:t>(c)</w:t>
      </w:r>
      <w:r>
        <w:rPr>
          <w:spacing w:val="-15"/>
        </w:rPr>
        <w:t xml:space="preserve"> </w:t>
      </w:r>
      <w:r>
        <w:t>and</w:t>
      </w:r>
      <w:r>
        <w:rPr>
          <w:spacing w:val="-15"/>
        </w:rPr>
        <w:t xml:space="preserve"> </w:t>
      </w:r>
      <w:r>
        <w:t>(7)</w:t>
      </w:r>
      <w:r>
        <w:rPr>
          <w:spacing w:val="-12"/>
        </w:rPr>
        <w:t xml:space="preserve"> </w:t>
      </w:r>
      <w:r>
        <w:t>and</w:t>
      </w:r>
      <w:r>
        <w:rPr>
          <w:spacing w:val="-13"/>
        </w:rPr>
        <w:t xml:space="preserve"> </w:t>
      </w:r>
      <w:r>
        <w:t>20(1)(a)</w:t>
      </w:r>
      <w:r>
        <w:rPr>
          <w:spacing w:val="-12"/>
        </w:rPr>
        <w:t xml:space="preserve"> </w:t>
      </w:r>
      <w:r>
        <w:t>and</w:t>
      </w:r>
      <w:r>
        <w:rPr>
          <w:spacing w:val="-11"/>
        </w:rPr>
        <w:t xml:space="preserve"> </w:t>
      </w:r>
      <w:r>
        <w:t>(b)</w:t>
      </w:r>
      <w:r>
        <w:rPr>
          <w:spacing w:val="-12"/>
        </w:rPr>
        <w:t xml:space="preserve"> </w:t>
      </w:r>
      <w:r>
        <w:t>of</w:t>
      </w:r>
      <w:r>
        <w:rPr>
          <w:spacing w:val="-11"/>
        </w:rPr>
        <w:t xml:space="preserve"> </w:t>
      </w:r>
      <w:r>
        <w:t>the</w:t>
      </w:r>
      <w:r>
        <w:rPr>
          <w:spacing w:val="-13"/>
        </w:rPr>
        <w:t xml:space="preserve"> </w:t>
      </w:r>
      <w:r>
        <w:t>Retained EU Law (Revocation and Reform) Act 2023 (“2023 Act”).</w:t>
      </w:r>
    </w:p>
    <w:p w14:paraId="32F406E0" w14:textId="77777777" w:rsidR="00B34687" w:rsidRDefault="00B34687">
      <w:pPr>
        <w:pStyle w:val="BodyText"/>
        <w:spacing w:before="9"/>
        <w:rPr>
          <w:sz w:val="23"/>
        </w:rPr>
      </w:pPr>
    </w:p>
    <w:p w14:paraId="32F406E1" w14:textId="77777777" w:rsidR="00B34687" w:rsidRDefault="00000000">
      <w:pPr>
        <w:pStyle w:val="BodyText"/>
        <w:ind w:left="120" w:right="113"/>
        <w:jc w:val="both"/>
      </w:pPr>
      <w:r>
        <w:t>The purpose of the Regulations is to temporarily extend or reinstate transitional provisions put in place through EU Exit legislation in relation to seed treatments and parallel</w:t>
      </w:r>
      <w:r>
        <w:rPr>
          <w:spacing w:val="-5"/>
        </w:rPr>
        <w:t xml:space="preserve"> </w:t>
      </w:r>
      <w:r>
        <w:t>trade</w:t>
      </w:r>
      <w:r>
        <w:rPr>
          <w:spacing w:val="-6"/>
        </w:rPr>
        <w:t xml:space="preserve"> </w:t>
      </w:r>
      <w:proofErr w:type="spellStart"/>
      <w:proofErr w:type="gramStart"/>
      <w:r>
        <w:t>products,the</w:t>
      </w:r>
      <w:proofErr w:type="spellEnd"/>
      <w:proofErr w:type="gramEnd"/>
      <w:r>
        <w:rPr>
          <w:spacing w:val="-3"/>
        </w:rPr>
        <w:t xml:space="preserve"> </w:t>
      </w:r>
      <w:r>
        <w:t>aim</w:t>
      </w:r>
      <w:r>
        <w:rPr>
          <w:spacing w:val="-3"/>
        </w:rPr>
        <w:t xml:space="preserve"> </w:t>
      </w:r>
      <w:r>
        <w:t>being</w:t>
      </w:r>
      <w:r>
        <w:rPr>
          <w:spacing w:val="-3"/>
        </w:rPr>
        <w:t xml:space="preserve"> </w:t>
      </w:r>
      <w:r>
        <w:t>to</w:t>
      </w:r>
      <w:r>
        <w:rPr>
          <w:spacing w:val="-6"/>
        </w:rPr>
        <w:t xml:space="preserve"> </w:t>
      </w:r>
      <w:r>
        <w:t>enable</w:t>
      </w:r>
      <w:r>
        <w:rPr>
          <w:spacing w:val="-3"/>
        </w:rPr>
        <w:t xml:space="preserve"> </w:t>
      </w:r>
      <w:r>
        <w:t>a</w:t>
      </w:r>
      <w:r>
        <w:rPr>
          <w:spacing w:val="-3"/>
        </w:rPr>
        <w:t xml:space="preserve"> </w:t>
      </w:r>
      <w:r>
        <w:t>sufficient</w:t>
      </w:r>
      <w:r>
        <w:rPr>
          <w:spacing w:val="-4"/>
        </w:rPr>
        <w:t xml:space="preserve"> </w:t>
      </w:r>
      <w:r>
        <w:t>supply</w:t>
      </w:r>
      <w:r>
        <w:rPr>
          <w:spacing w:val="-4"/>
        </w:rPr>
        <w:t xml:space="preserve"> </w:t>
      </w:r>
      <w:r>
        <w:t>of</w:t>
      </w:r>
      <w:r>
        <w:rPr>
          <w:spacing w:val="-6"/>
        </w:rPr>
        <w:t xml:space="preserve"> </w:t>
      </w:r>
      <w:r>
        <w:t>treated</w:t>
      </w:r>
      <w:r>
        <w:rPr>
          <w:spacing w:val="-3"/>
        </w:rPr>
        <w:t xml:space="preserve"> </w:t>
      </w:r>
      <w:r>
        <w:t>seed</w:t>
      </w:r>
      <w:r>
        <w:rPr>
          <w:spacing w:val="-3"/>
        </w:rPr>
        <w:t xml:space="preserve"> </w:t>
      </w:r>
      <w:r>
        <w:t>and plant</w:t>
      </w:r>
      <w:r>
        <w:rPr>
          <w:spacing w:val="-5"/>
        </w:rPr>
        <w:t xml:space="preserve"> </w:t>
      </w:r>
      <w:r>
        <w:t>protection</w:t>
      </w:r>
      <w:r>
        <w:rPr>
          <w:spacing w:val="-4"/>
        </w:rPr>
        <w:t xml:space="preserve"> </w:t>
      </w:r>
      <w:r>
        <w:t>products</w:t>
      </w:r>
      <w:r>
        <w:rPr>
          <w:spacing w:val="-3"/>
        </w:rPr>
        <w:t xml:space="preserve"> </w:t>
      </w:r>
      <w:r>
        <w:t>on</w:t>
      </w:r>
      <w:r>
        <w:rPr>
          <w:spacing w:val="-4"/>
        </w:rPr>
        <w:t xml:space="preserve"> </w:t>
      </w:r>
      <w:r>
        <w:t>the</w:t>
      </w:r>
      <w:r>
        <w:rPr>
          <w:spacing w:val="-2"/>
        </w:rPr>
        <w:t xml:space="preserve"> </w:t>
      </w:r>
      <w:r>
        <w:t>GB</w:t>
      </w:r>
      <w:r>
        <w:rPr>
          <w:spacing w:val="-5"/>
        </w:rPr>
        <w:t xml:space="preserve"> </w:t>
      </w:r>
      <w:r>
        <w:t>market,</w:t>
      </w:r>
      <w:r>
        <w:rPr>
          <w:spacing w:val="-2"/>
        </w:rPr>
        <w:t xml:space="preserve"> </w:t>
      </w:r>
      <w:r>
        <w:t>thus</w:t>
      </w:r>
      <w:r>
        <w:rPr>
          <w:spacing w:val="-3"/>
        </w:rPr>
        <w:t xml:space="preserve"> </w:t>
      </w:r>
      <w:r>
        <w:t>supporting</w:t>
      </w:r>
      <w:r>
        <w:rPr>
          <w:spacing w:val="-4"/>
        </w:rPr>
        <w:t xml:space="preserve"> </w:t>
      </w:r>
      <w:r>
        <w:t>good</w:t>
      </w:r>
      <w:r>
        <w:rPr>
          <w:spacing w:val="-4"/>
        </w:rPr>
        <w:t xml:space="preserve"> </w:t>
      </w:r>
      <w:r>
        <w:t>crop</w:t>
      </w:r>
      <w:r>
        <w:rPr>
          <w:spacing w:val="-4"/>
        </w:rPr>
        <w:t xml:space="preserve"> </w:t>
      </w:r>
      <w:r>
        <w:t>establishment and reduced costs to growers and buyers of food and feed. The Regulations will maintain the current approach on treated seed imports and will reinstate a similar approach</w:t>
      </w:r>
      <w:r>
        <w:rPr>
          <w:spacing w:val="-4"/>
        </w:rPr>
        <w:t xml:space="preserve"> </w:t>
      </w:r>
      <w:r>
        <w:t>to</w:t>
      </w:r>
      <w:r>
        <w:rPr>
          <w:spacing w:val="-4"/>
        </w:rPr>
        <w:t xml:space="preserve"> </w:t>
      </w:r>
      <w:r>
        <w:t>parallel</w:t>
      </w:r>
      <w:r>
        <w:rPr>
          <w:spacing w:val="-3"/>
        </w:rPr>
        <w:t xml:space="preserve"> </w:t>
      </w:r>
      <w:r>
        <w:t>trade</w:t>
      </w:r>
      <w:r>
        <w:rPr>
          <w:spacing w:val="-2"/>
        </w:rPr>
        <w:t xml:space="preserve"> </w:t>
      </w:r>
      <w:r>
        <w:t>that</w:t>
      </w:r>
      <w:r>
        <w:rPr>
          <w:spacing w:val="-4"/>
        </w:rPr>
        <w:t xml:space="preserve"> </w:t>
      </w:r>
      <w:r>
        <w:t>exists</w:t>
      </w:r>
      <w:r>
        <w:rPr>
          <w:spacing w:val="-4"/>
        </w:rPr>
        <w:t xml:space="preserve"> </w:t>
      </w:r>
      <w:r>
        <w:t>across</w:t>
      </w:r>
      <w:r>
        <w:rPr>
          <w:spacing w:val="-3"/>
        </w:rPr>
        <w:t xml:space="preserve"> </w:t>
      </w:r>
      <w:r>
        <w:t>the</w:t>
      </w:r>
      <w:r>
        <w:rPr>
          <w:spacing w:val="-2"/>
        </w:rPr>
        <w:t xml:space="preserve"> </w:t>
      </w:r>
      <w:r>
        <w:t>EU.</w:t>
      </w:r>
      <w:r>
        <w:rPr>
          <w:spacing w:val="-2"/>
        </w:rPr>
        <w:t xml:space="preserve"> </w:t>
      </w:r>
      <w:r>
        <w:t>There</w:t>
      </w:r>
      <w:r>
        <w:rPr>
          <w:spacing w:val="-4"/>
        </w:rPr>
        <w:t xml:space="preserve"> </w:t>
      </w:r>
      <w:r>
        <w:t>is</w:t>
      </w:r>
      <w:r>
        <w:rPr>
          <w:spacing w:val="-3"/>
        </w:rPr>
        <w:t xml:space="preserve"> </w:t>
      </w:r>
      <w:r>
        <w:t>no</w:t>
      </w:r>
      <w:r>
        <w:rPr>
          <w:spacing w:val="-4"/>
        </w:rPr>
        <w:t xml:space="preserve"> </w:t>
      </w:r>
      <w:r>
        <w:t>policy</w:t>
      </w:r>
      <w:r>
        <w:rPr>
          <w:spacing w:val="-3"/>
        </w:rPr>
        <w:t xml:space="preserve"> </w:t>
      </w:r>
      <w:r>
        <w:t>divergence</w:t>
      </w:r>
      <w:r>
        <w:rPr>
          <w:spacing w:val="-4"/>
        </w:rPr>
        <w:t xml:space="preserve"> </w:t>
      </w:r>
      <w:r>
        <w:t>on this matter between Welsh Government, Scottish Government and DEFRA</w:t>
      </w:r>
      <w:r>
        <w:rPr>
          <w:spacing w:val="40"/>
        </w:rPr>
        <w:t xml:space="preserve"> </w:t>
      </w:r>
      <w:proofErr w:type="gramStart"/>
      <w:r>
        <w:t xml:space="preserve">at this </w:t>
      </w:r>
      <w:r>
        <w:rPr>
          <w:spacing w:val="-2"/>
        </w:rPr>
        <w:t>time</w:t>
      </w:r>
      <w:proofErr w:type="gramEnd"/>
      <w:r>
        <w:rPr>
          <w:spacing w:val="-2"/>
        </w:rPr>
        <w:t>.</w:t>
      </w:r>
    </w:p>
    <w:p w14:paraId="32F406E2" w14:textId="77777777" w:rsidR="00B34687" w:rsidRDefault="00B34687">
      <w:pPr>
        <w:pStyle w:val="BodyText"/>
      </w:pPr>
    </w:p>
    <w:p w14:paraId="32F406E3" w14:textId="77777777" w:rsidR="00B34687" w:rsidRDefault="00000000">
      <w:pPr>
        <w:pStyle w:val="BodyText"/>
        <w:ind w:left="120" w:right="115"/>
        <w:jc w:val="both"/>
      </w:pPr>
      <w:r>
        <w:t>The SI was laid before the UK Parliament on 23 October 2023 to come into force on 31 December 2023.</w:t>
      </w:r>
    </w:p>
    <w:p w14:paraId="32F406E4" w14:textId="77777777" w:rsidR="00B34687" w:rsidRDefault="00B34687">
      <w:pPr>
        <w:jc w:val="both"/>
        <w:sectPr w:rsidR="00B34687">
          <w:type w:val="continuous"/>
          <w:pgSz w:w="11910" w:h="16840"/>
          <w:pgMar w:top="200" w:right="1320" w:bottom="280" w:left="1320" w:header="720" w:footer="720" w:gutter="0"/>
          <w:cols w:space="720"/>
        </w:sectPr>
      </w:pPr>
    </w:p>
    <w:p w14:paraId="32F406E5" w14:textId="77777777" w:rsidR="00B34687" w:rsidRDefault="00000000">
      <w:pPr>
        <w:pStyle w:val="Heading1"/>
        <w:spacing w:before="82"/>
        <w:ind w:right="68"/>
      </w:pPr>
      <w:r>
        <w:lastRenderedPageBreak/>
        <w:t>Any</w:t>
      </w:r>
      <w:r>
        <w:rPr>
          <w:spacing w:val="-3"/>
        </w:rPr>
        <w:t xml:space="preserve"> </w:t>
      </w:r>
      <w:r>
        <w:t>impact</w:t>
      </w:r>
      <w:r>
        <w:rPr>
          <w:spacing w:val="-5"/>
        </w:rPr>
        <w:t xml:space="preserve"> </w:t>
      </w:r>
      <w:r>
        <w:t>the</w:t>
      </w:r>
      <w:r>
        <w:rPr>
          <w:spacing w:val="-5"/>
        </w:rPr>
        <w:t xml:space="preserve"> </w:t>
      </w:r>
      <w:r>
        <w:t>SI</w:t>
      </w:r>
      <w:r>
        <w:rPr>
          <w:spacing w:val="-3"/>
        </w:rPr>
        <w:t xml:space="preserve"> </w:t>
      </w:r>
      <w:r>
        <w:t>may</w:t>
      </w:r>
      <w:r>
        <w:rPr>
          <w:spacing w:val="-3"/>
        </w:rPr>
        <w:t xml:space="preserve"> </w:t>
      </w:r>
      <w:r>
        <w:t>have</w:t>
      </w:r>
      <w:r>
        <w:rPr>
          <w:spacing w:val="-3"/>
        </w:rPr>
        <w:t xml:space="preserve"> </w:t>
      </w:r>
      <w:r>
        <w:t>on</w:t>
      </w:r>
      <w:r>
        <w:rPr>
          <w:spacing w:val="-4"/>
        </w:rPr>
        <w:t xml:space="preserve"> </w:t>
      </w:r>
      <w:r>
        <w:t>the</w:t>
      </w:r>
      <w:r>
        <w:rPr>
          <w:spacing w:val="-3"/>
        </w:rPr>
        <w:t xml:space="preserve"> </w:t>
      </w:r>
      <w:r>
        <w:t>Senedd’s</w:t>
      </w:r>
      <w:r>
        <w:rPr>
          <w:spacing w:val="-3"/>
        </w:rPr>
        <w:t xml:space="preserve"> </w:t>
      </w:r>
      <w:r>
        <w:t>legislative</w:t>
      </w:r>
      <w:r>
        <w:rPr>
          <w:spacing w:val="-5"/>
        </w:rPr>
        <w:t xml:space="preserve"> </w:t>
      </w:r>
      <w:r>
        <w:t>competence</w:t>
      </w:r>
      <w:r>
        <w:rPr>
          <w:spacing w:val="-3"/>
        </w:rPr>
        <w:t xml:space="preserve"> </w:t>
      </w:r>
      <w:r>
        <w:t>and/or</w:t>
      </w:r>
      <w:r>
        <w:rPr>
          <w:spacing w:val="-5"/>
        </w:rPr>
        <w:t xml:space="preserve"> </w:t>
      </w:r>
      <w:r>
        <w:t>the Welsh Ministers’ executive competence.</w:t>
      </w:r>
    </w:p>
    <w:p w14:paraId="32F406E6" w14:textId="77777777" w:rsidR="00B34687" w:rsidRDefault="00B34687">
      <w:pPr>
        <w:pStyle w:val="BodyText"/>
        <w:rPr>
          <w:b/>
        </w:rPr>
      </w:pPr>
    </w:p>
    <w:p w14:paraId="32F406E7" w14:textId="77777777" w:rsidR="00B34687" w:rsidRDefault="00000000">
      <w:pPr>
        <w:pStyle w:val="BodyText"/>
        <w:ind w:left="120" w:right="202"/>
      </w:pPr>
      <w:r>
        <w:t>Functions conferred by the legislation being amended, are conferred on Welsh Ministers for Wales or on the Secretary of State with Welsh Ministers consent. This means Welsh Ministers retain the relevant functions (or may delegate those functions</w:t>
      </w:r>
      <w:r>
        <w:rPr>
          <w:spacing w:val="-3"/>
        </w:rPr>
        <w:t xml:space="preserve"> </w:t>
      </w:r>
      <w:r>
        <w:t>to</w:t>
      </w:r>
      <w:r>
        <w:rPr>
          <w:spacing w:val="-2"/>
        </w:rPr>
        <w:t xml:space="preserve"> </w:t>
      </w:r>
      <w:r>
        <w:t>the</w:t>
      </w:r>
      <w:r>
        <w:rPr>
          <w:spacing w:val="-2"/>
        </w:rPr>
        <w:t xml:space="preserve"> </w:t>
      </w:r>
      <w:r>
        <w:t>Health</w:t>
      </w:r>
      <w:r>
        <w:rPr>
          <w:spacing w:val="-4"/>
        </w:rPr>
        <w:t xml:space="preserve"> </w:t>
      </w:r>
      <w:r>
        <w:t>and</w:t>
      </w:r>
      <w:r>
        <w:rPr>
          <w:spacing w:val="-4"/>
        </w:rPr>
        <w:t xml:space="preserve"> </w:t>
      </w:r>
      <w:r>
        <w:t>Safety</w:t>
      </w:r>
      <w:r>
        <w:rPr>
          <w:spacing w:val="-3"/>
        </w:rPr>
        <w:t xml:space="preserve"> </w:t>
      </w:r>
      <w:r>
        <w:t>Executive</w:t>
      </w:r>
      <w:r>
        <w:rPr>
          <w:spacing w:val="-4"/>
        </w:rPr>
        <w:t xml:space="preserve"> </w:t>
      </w:r>
      <w:r>
        <w:t>via</w:t>
      </w:r>
      <w:r>
        <w:rPr>
          <w:spacing w:val="-2"/>
        </w:rPr>
        <w:t xml:space="preserve"> </w:t>
      </w:r>
      <w:r>
        <w:t>an</w:t>
      </w:r>
      <w:r>
        <w:rPr>
          <w:spacing w:val="-4"/>
        </w:rPr>
        <w:t xml:space="preserve"> </w:t>
      </w:r>
      <w:r>
        <w:t>Agency</w:t>
      </w:r>
      <w:r>
        <w:rPr>
          <w:spacing w:val="-3"/>
        </w:rPr>
        <w:t xml:space="preserve"> </w:t>
      </w:r>
      <w:r>
        <w:t>Agreement</w:t>
      </w:r>
      <w:r>
        <w:rPr>
          <w:spacing w:val="-2"/>
        </w:rPr>
        <w:t xml:space="preserve"> </w:t>
      </w:r>
      <w:r>
        <w:t>between</w:t>
      </w:r>
      <w:r>
        <w:rPr>
          <w:spacing w:val="-2"/>
        </w:rPr>
        <w:t xml:space="preserve"> </w:t>
      </w:r>
      <w:r>
        <w:t>the Welsh Ministers and HSE).</w:t>
      </w:r>
    </w:p>
    <w:p w14:paraId="32F406E8" w14:textId="77777777" w:rsidR="00B34687" w:rsidRDefault="00B34687">
      <w:pPr>
        <w:pStyle w:val="BodyText"/>
      </w:pPr>
    </w:p>
    <w:p w14:paraId="32F406E9" w14:textId="77777777" w:rsidR="00B34687" w:rsidRDefault="00000000">
      <w:pPr>
        <w:pStyle w:val="Heading1"/>
      </w:pPr>
      <w:r>
        <w:t>The</w:t>
      </w:r>
      <w:r>
        <w:rPr>
          <w:spacing w:val="-2"/>
        </w:rPr>
        <w:t xml:space="preserve"> </w:t>
      </w:r>
      <w:r>
        <w:t>purpose</w:t>
      </w:r>
      <w:r>
        <w:rPr>
          <w:spacing w:val="-1"/>
        </w:rPr>
        <w:t xml:space="preserve"> </w:t>
      </w:r>
      <w:r>
        <w:t>of</w:t>
      </w:r>
      <w:r>
        <w:rPr>
          <w:spacing w:val="-3"/>
        </w:rPr>
        <w:t xml:space="preserve"> </w:t>
      </w:r>
      <w:r>
        <w:t>the</w:t>
      </w:r>
      <w:r>
        <w:rPr>
          <w:spacing w:val="-2"/>
        </w:rPr>
        <w:t xml:space="preserve"> amendments</w:t>
      </w:r>
    </w:p>
    <w:p w14:paraId="32F406EA" w14:textId="77777777" w:rsidR="00B34687" w:rsidRDefault="00B34687">
      <w:pPr>
        <w:pStyle w:val="BodyText"/>
        <w:rPr>
          <w:b/>
        </w:rPr>
      </w:pPr>
    </w:p>
    <w:p w14:paraId="32F406EB" w14:textId="77777777" w:rsidR="00B34687" w:rsidRDefault="00000000">
      <w:pPr>
        <w:pStyle w:val="BodyText"/>
        <w:ind w:left="120" w:right="68"/>
      </w:pPr>
      <w:r>
        <w:t>The purpose of the Regulations is to extend the transitional measures through legislation. This will allow the temporary continued use of relevant seed treatments and plant protection products whilst providing further time for these treatments and products to either go through the GB authorisation process themselves or for manufacturers</w:t>
      </w:r>
      <w:r>
        <w:rPr>
          <w:spacing w:val="-4"/>
        </w:rPr>
        <w:t xml:space="preserve"> </w:t>
      </w:r>
      <w:r>
        <w:t>to</w:t>
      </w:r>
      <w:r>
        <w:rPr>
          <w:spacing w:val="-3"/>
        </w:rPr>
        <w:t xml:space="preserve"> </w:t>
      </w:r>
      <w:r>
        <w:t>develop</w:t>
      </w:r>
      <w:r>
        <w:rPr>
          <w:spacing w:val="-3"/>
        </w:rPr>
        <w:t xml:space="preserve"> </w:t>
      </w:r>
      <w:r>
        <w:t>alternative</w:t>
      </w:r>
      <w:r>
        <w:rPr>
          <w:spacing w:val="-3"/>
        </w:rPr>
        <w:t xml:space="preserve"> </w:t>
      </w:r>
      <w:r>
        <w:t>treatments</w:t>
      </w:r>
      <w:r>
        <w:rPr>
          <w:spacing w:val="-4"/>
        </w:rPr>
        <w:t xml:space="preserve"> </w:t>
      </w:r>
      <w:r>
        <w:t>/</w:t>
      </w:r>
      <w:r>
        <w:rPr>
          <w:spacing w:val="-3"/>
        </w:rPr>
        <w:t xml:space="preserve"> </w:t>
      </w:r>
      <w:r>
        <w:t>products</w:t>
      </w:r>
      <w:r>
        <w:rPr>
          <w:spacing w:val="-4"/>
        </w:rPr>
        <w:t xml:space="preserve"> </w:t>
      </w:r>
      <w:r>
        <w:t>which</w:t>
      </w:r>
      <w:r>
        <w:rPr>
          <w:spacing w:val="-3"/>
        </w:rPr>
        <w:t xml:space="preserve"> </w:t>
      </w:r>
      <w:r>
        <w:t>can</w:t>
      </w:r>
      <w:r>
        <w:rPr>
          <w:spacing w:val="-5"/>
        </w:rPr>
        <w:t xml:space="preserve"> </w:t>
      </w:r>
      <w:r>
        <w:t>be</w:t>
      </w:r>
      <w:r>
        <w:rPr>
          <w:spacing w:val="-5"/>
        </w:rPr>
        <w:t xml:space="preserve"> </w:t>
      </w:r>
      <w:r>
        <w:t>authorised for use in GB.</w:t>
      </w:r>
    </w:p>
    <w:p w14:paraId="32F406EC" w14:textId="77777777" w:rsidR="00B34687" w:rsidRDefault="00B34687">
      <w:pPr>
        <w:pStyle w:val="BodyText"/>
      </w:pPr>
    </w:p>
    <w:p w14:paraId="32F406ED" w14:textId="77777777" w:rsidR="00B34687" w:rsidRDefault="00000000">
      <w:pPr>
        <w:pStyle w:val="BodyText"/>
        <w:ind w:left="120" w:right="11"/>
      </w:pPr>
      <w:r>
        <w:t>The</w:t>
      </w:r>
      <w:r>
        <w:rPr>
          <w:spacing w:val="-3"/>
        </w:rPr>
        <w:t xml:space="preserve"> </w:t>
      </w:r>
      <w:r>
        <w:t>Regulations</w:t>
      </w:r>
      <w:r>
        <w:rPr>
          <w:spacing w:val="-4"/>
        </w:rPr>
        <w:t xml:space="preserve"> </w:t>
      </w:r>
      <w:r>
        <w:t>and</w:t>
      </w:r>
      <w:r>
        <w:rPr>
          <w:spacing w:val="-5"/>
        </w:rPr>
        <w:t xml:space="preserve"> </w:t>
      </w:r>
      <w:r>
        <w:t>accompanying</w:t>
      </w:r>
      <w:r>
        <w:rPr>
          <w:spacing w:val="-3"/>
        </w:rPr>
        <w:t xml:space="preserve"> </w:t>
      </w:r>
      <w:r>
        <w:t>Explanatory</w:t>
      </w:r>
      <w:r>
        <w:rPr>
          <w:spacing w:val="-4"/>
        </w:rPr>
        <w:t xml:space="preserve"> </w:t>
      </w:r>
      <w:r>
        <w:t>Memorandum,</w:t>
      </w:r>
      <w:r>
        <w:rPr>
          <w:spacing w:val="-3"/>
        </w:rPr>
        <w:t xml:space="preserve"> </w:t>
      </w:r>
      <w:r>
        <w:t>setting</w:t>
      </w:r>
      <w:r>
        <w:rPr>
          <w:spacing w:val="-3"/>
        </w:rPr>
        <w:t xml:space="preserve"> </w:t>
      </w:r>
      <w:r>
        <w:t>out</w:t>
      </w:r>
      <w:r>
        <w:rPr>
          <w:spacing w:val="-4"/>
        </w:rPr>
        <w:t xml:space="preserve"> </w:t>
      </w:r>
      <w:r>
        <w:t>the</w:t>
      </w:r>
      <w:r>
        <w:rPr>
          <w:spacing w:val="-5"/>
        </w:rPr>
        <w:t xml:space="preserve"> </w:t>
      </w:r>
      <w:r>
        <w:t>detail of the provenance, purpose and effect of the amendments is available here:</w:t>
      </w:r>
    </w:p>
    <w:p w14:paraId="32F406EE" w14:textId="77777777" w:rsidR="00B34687" w:rsidRDefault="00B34687">
      <w:pPr>
        <w:pStyle w:val="BodyText"/>
      </w:pPr>
    </w:p>
    <w:p w14:paraId="32F406EF" w14:textId="77777777" w:rsidR="00B34687" w:rsidRDefault="00000000">
      <w:pPr>
        <w:pStyle w:val="BodyText"/>
        <w:ind w:left="120" w:right="202"/>
      </w:pPr>
      <w:r>
        <w:t>Statutory</w:t>
      </w:r>
      <w:r>
        <w:rPr>
          <w:spacing w:val="-5"/>
        </w:rPr>
        <w:t xml:space="preserve"> </w:t>
      </w:r>
      <w:r>
        <w:t>Instrument:</w:t>
      </w:r>
      <w:r>
        <w:rPr>
          <w:spacing w:val="-4"/>
        </w:rPr>
        <w:t xml:space="preserve"> </w:t>
      </w:r>
      <w:hyperlink r:id="rId5">
        <w:r>
          <w:rPr>
            <w:color w:val="0562C1"/>
            <w:u w:val="single" w:color="0562C1"/>
          </w:rPr>
          <w:t>The</w:t>
        </w:r>
        <w:r>
          <w:rPr>
            <w:color w:val="0562C1"/>
            <w:spacing w:val="-4"/>
            <w:u w:val="single" w:color="0562C1"/>
          </w:rPr>
          <w:t xml:space="preserve"> </w:t>
        </w:r>
        <w:r>
          <w:rPr>
            <w:color w:val="0562C1"/>
            <w:u w:val="single" w:color="0562C1"/>
          </w:rPr>
          <w:t>Plant</w:t>
        </w:r>
        <w:r>
          <w:rPr>
            <w:color w:val="0562C1"/>
            <w:spacing w:val="-6"/>
            <w:u w:val="single" w:color="0562C1"/>
          </w:rPr>
          <w:t xml:space="preserve"> </w:t>
        </w:r>
        <w:r>
          <w:rPr>
            <w:color w:val="0562C1"/>
            <w:u w:val="single" w:color="0562C1"/>
          </w:rPr>
          <w:t>Protection</w:t>
        </w:r>
        <w:r>
          <w:rPr>
            <w:color w:val="0562C1"/>
            <w:spacing w:val="-4"/>
            <w:u w:val="single" w:color="0562C1"/>
          </w:rPr>
          <w:t xml:space="preserve"> </w:t>
        </w:r>
        <w:r>
          <w:rPr>
            <w:color w:val="0562C1"/>
            <w:u w:val="single" w:color="0562C1"/>
          </w:rPr>
          <w:t>Products</w:t>
        </w:r>
        <w:r>
          <w:rPr>
            <w:color w:val="0562C1"/>
            <w:spacing w:val="-6"/>
            <w:u w:val="single" w:color="0562C1"/>
          </w:rPr>
          <w:t xml:space="preserve"> </w:t>
        </w:r>
        <w:r>
          <w:rPr>
            <w:color w:val="0562C1"/>
            <w:u w:val="single" w:color="0562C1"/>
          </w:rPr>
          <w:t>(Miscellaneous</w:t>
        </w:r>
        <w:r>
          <w:rPr>
            <w:color w:val="0562C1"/>
            <w:spacing w:val="-7"/>
            <w:u w:val="single" w:color="0562C1"/>
          </w:rPr>
          <w:t xml:space="preserve"> </w:t>
        </w:r>
        <w:r>
          <w:rPr>
            <w:color w:val="0562C1"/>
            <w:u w:val="single" w:color="0562C1"/>
          </w:rPr>
          <w:t>Amendments)</w:t>
        </w:r>
      </w:hyperlink>
      <w:r>
        <w:rPr>
          <w:color w:val="0562C1"/>
        </w:rPr>
        <w:t xml:space="preserve"> </w:t>
      </w:r>
      <w:hyperlink r:id="rId6">
        <w:r>
          <w:rPr>
            <w:color w:val="0562C1"/>
            <w:u w:val="single" w:color="0562C1"/>
          </w:rPr>
          <w:t>Regulations 2023 (legislation.gov.uk)</w:t>
        </w:r>
      </w:hyperlink>
    </w:p>
    <w:p w14:paraId="32F406F0" w14:textId="77777777" w:rsidR="00B34687" w:rsidRDefault="00B34687">
      <w:pPr>
        <w:pStyle w:val="BodyText"/>
        <w:rPr>
          <w:sz w:val="16"/>
        </w:rPr>
      </w:pPr>
    </w:p>
    <w:p w14:paraId="32F406F1" w14:textId="77777777" w:rsidR="00B34687" w:rsidRDefault="00000000">
      <w:pPr>
        <w:pStyle w:val="BodyText"/>
        <w:spacing w:before="92"/>
        <w:ind w:left="120" w:right="202"/>
      </w:pPr>
      <w:r>
        <w:t>Explanatory</w:t>
      </w:r>
      <w:r>
        <w:rPr>
          <w:spacing w:val="-6"/>
        </w:rPr>
        <w:t xml:space="preserve"> </w:t>
      </w:r>
      <w:r>
        <w:t>Memorandum:</w:t>
      </w:r>
      <w:r>
        <w:rPr>
          <w:spacing w:val="-6"/>
        </w:rPr>
        <w:t xml:space="preserve"> </w:t>
      </w:r>
      <w:hyperlink r:id="rId7">
        <w:r>
          <w:rPr>
            <w:color w:val="0562C1"/>
            <w:u w:val="single" w:color="0562C1"/>
          </w:rPr>
          <w:t>The</w:t>
        </w:r>
        <w:r>
          <w:rPr>
            <w:color w:val="0562C1"/>
            <w:spacing w:val="-6"/>
            <w:u w:val="single" w:color="0562C1"/>
          </w:rPr>
          <w:t xml:space="preserve"> </w:t>
        </w:r>
        <w:r>
          <w:rPr>
            <w:color w:val="0562C1"/>
            <w:u w:val="single" w:color="0562C1"/>
          </w:rPr>
          <w:t>Plant</w:t>
        </w:r>
        <w:r>
          <w:rPr>
            <w:color w:val="0562C1"/>
            <w:spacing w:val="-6"/>
            <w:u w:val="single" w:color="0562C1"/>
          </w:rPr>
          <w:t xml:space="preserve"> </w:t>
        </w:r>
        <w:r>
          <w:rPr>
            <w:color w:val="0562C1"/>
            <w:u w:val="single" w:color="0562C1"/>
          </w:rPr>
          <w:t>Protection</w:t>
        </w:r>
        <w:r>
          <w:rPr>
            <w:color w:val="0562C1"/>
            <w:spacing w:val="-6"/>
            <w:u w:val="single" w:color="0562C1"/>
          </w:rPr>
          <w:t xml:space="preserve"> </w:t>
        </w:r>
        <w:r>
          <w:rPr>
            <w:color w:val="0562C1"/>
            <w:u w:val="single" w:color="0562C1"/>
          </w:rPr>
          <w:t>Products</w:t>
        </w:r>
        <w:r>
          <w:rPr>
            <w:color w:val="0562C1"/>
            <w:spacing w:val="-6"/>
            <w:u w:val="single" w:color="0562C1"/>
          </w:rPr>
          <w:t xml:space="preserve"> </w:t>
        </w:r>
        <w:r>
          <w:rPr>
            <w:color w:val="0562C1"/>
            <w:u w:val="single" w:color="0562C1"/>
          </w:rPr>
          <w:t>(Miscellaneous</w:t>
        </w:r>
      </w:hyperlink>
      <w:r>
        <w:rPr>
          <w:color w:val="0562C1"/>
        </w:rPr>
        <w:t xml:space="preserve"> </w:t>
      </w:r>
      <w:hyperlink r:id="rId8">
        <w:r>
          <w:rPr>
            <w:color w:val="0562C1"/>
            <w:u w:val="single" w:color="0562C1"/>
          </w:rPr>
          <w:t>Amendments) Regulations 2023 (legislation.gov.uk)</w:t>
        </w:r>
      </w:hyperlink>
    </w:p>
    <w:p w14:paraId="32F406F2" w14:textId="77777777" w:rsidR="00B34687" w:rsidRDefault="00B34687">
      <w:pPr>
        <w:pStyle w:val="BodyText"/>
        <w:rPr>
          <w:sz w:val="16"/>
        </w:rPr>
      </w:pPr>
    </w:p>
    <w:p w14:paraId="32F406F3" w14:textId="77777777" w:rsidR="00B34687" w:rsidRDefault="00000000">
      <w:pPr>
        <w:pStyle w:val="Heading1"/>
        <w:spacing w:before="92"/>
      </w:pPr>
      <w:r>
        <w:t>Why</w:t>
      </w:r>
      <w:r>
        <w:rPr>
          <w:spacing w:val="-2"/>
        </w:rPr>
        <w:t xml:space="preserve"> </w:t>
      </w:r>
      <w:r>
        <w:t>consent</w:t>
      </w:r>
      <w:r>
        <w:rPr>
          <w:spacing w:val="-3"/>
        </w:rPr>
        <w:t xml:space="preserve"> </w:t>
      </w:r>
      <w:r>
        <w:t>has</w:t>
      </w:r>
      <w:r>
        <w:rPr>
          <w:spacing w:val="-1"/>
        </w:rPr>
        <w:t xml:space="preserve"> </w:t>
      </w:r>
      <w:r>
        <w:t>been</w:t>
      </w:r>
      <w:r>
        <w:rPr>
          <w:spacing w:val="-2"/>
        </w:rPr>
        <w:t xml:space="preserve"> </w:t>
      </w:r>
      <w:proofErr w:type="gramStart"/>
      <w:r>
        <w:rPr>
          <w:spacing w:val="-2"/>
        </w:rPr>
        <w:t>given</w:t>
      </w:r>
      <w:proofErr w:type="gramEnd"/>
    </w:p>
    <w:p w14:paraId="32F406F4" w14:textId="77777777" w:rsidR="00B34687" w:rsidRDefault="00B34687">
      <w:pPr>
        <w:pStyle w:val="BodyText"/>
        <w:rPr>
          <w:b/>
        </w:rPr>
      </w:pPr>
    </w:p>
    <w:p w14:paraId="32F406F5" w14:textId="77777777" w:rsidR="00B34687" w:rsidRDefault="00000000">
      <w:pPr>
        <w:pStyle w:val="BodyText"/>
        <w:ind w:left="119" w:right="202"/>
      </w:pPr>
      <w:r>
        <w:t>Consent has been given for the UK Government to make this instrument as it is considered appropriate, on this occasion, for the UK Government to legislate on a GB-wide basis. Plant Health and Pesticides are areas where the Welsh Ministers have often consented to the SOS making legislation on a GB-basis due to the GB wide approach to the subject matter. This approach ensures there is no divergence between</w:t>
      </w:r>
      <w:r>
        <w:rPr>
          <w:spacing w:val="-4"/>
        </w:rPr>
        <w:t xml:space="preserve"> </w:t>
      </w:r>
      <w:r>
        <w:t>Welsh</w:t>
      </w:r>
      <w:r>
        <w:rPr>
          <w:spacing w:val="-4"/>
        </w:rPr>
        <w:t xml:space="preserve"> </w:t>
      </w:r>
      <w:r>
        <w:t>and</w:t>
      </w:r>
      <w:r>
        <w:rPr>
          <w:spacing w:val="-2"/>
        </w:rPr>
        <w:t xml:space="preserve"> </w:t>
      </w:r>
      <w:r>
        <w:t>other</w:t>
      </w:r>
      <w:r>
        <w:rPr>
          <w:spacing w:val="-4"/>
        </w:rPr>
        <w:t xml:space="preserve"> </w:t>
      </w:r>
      <w:r>
        <w:t>GB</w:t>
      </w:r>
      <w:r>
        <w:rPr>
          <w:spacing w:val="-2"/>
        </w:rPr>
        <w:t xml:space="preserve"> </w:t>
      </w:r>
      <w:r>
        <w:t>regulations,</w:t>
      </w:r>
      <w:r>
        <w:rPr>
          <w:spacing w:val="-5"/>
        </w:rPr>
        <w:t xml:space="preserve"> </w:t>
      </w:r>
      <w:r>
        <w:t>reducing</w:t>
      </w:r>
      <w:r>
        <w:rPr>
          <w:spacing w:val="-4"/>
        </w:rPr>
        <w:t xml:space="preserve"> </w:t>
      </w:r>
      <w:r>
        <w:t>any</w:t>
      </w:r>
      <w:r>
        <w:rPr>
          <w:spacing w:val="-3"/>
        </w:rPr>
        <w:t xml:space="preserve"> </w:t>
      </w:r>
      <w:r>
        <w:t>confusion</w:t>
      </w:r>
      <w:r>
        <w:rPr>
          <w:spacing w:val="-4"/>
        </w:rPr>
        <w:t xml:space="preserve"> </w:t>
      </w:r>
      <w:r>
        <w:t>and</w:t>
      </w:r>
      <w:r>
        <w:rPr>
          <w:spacing w:val="-2"/>
        </w:rPr>
        <w:t xml:space="preserve"> </w:t>
      </w:r>
      <w:r>
        <w:t>disadvantage for Welsh traders and reducing any potential administrative burden for the Health and Safety Executive when administering permits for parallel trade and in undertaking any enforcement activity.</w:t>
      </w:r>
    </w:p>
    <w:sectPr w:rsidR="00B34687">
      <w:pgSz w:w="11910" w:h="16840"/>
      <w:pgMar w:top="134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34687"/>
    <w:rsid w:val="006F0570"/>
    <w:rsid w:val="00B34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F406C0"/>
  <w15:docId w15:val="{696983C8-6999-4B1A-870F-22BFB101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894" w:right="1893"/>
      <w:jc w:val="center"/>
    </w:pPr>
    <w:rPr>
      <w:rFonts w:ascii="Times New Roman" w:eastAsia="Times New Roman" w:hAnsi="Times New Roman" w:cs="Times New Roman"/>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legislation.gov.uk%2Fukdsi%2F2023%2F9780348252651%2Fpdfs%2Fukdsiem_9780348252651_en_001.pdf&amp;data=05%7C01%7CJenny.Fletcher%40gov.wales%7C6097728e6cff4d93eb2408dbd3c6ff29%7Ca2cc36c592804ae78887d06dab89216b%7C0%7C1%7C638336623891321486%7CUnknown%7CTWFpbGZsb3d8eyJWIjoiMC4wLjAwMDAiLCJQIjoiV2luMzIiLCJBTiI6Ik1haWwiLCJXVCI6Mn0%3D%7C3000%7C%7C%7C&amp;sdata=Gw14%2FSEhsMSJwEcPyeWs0JGSX0gagLVOrR9i%2FTXJtkY%3D&amp;reserved=0" TargetMode="External"/><Relationship Id="rId3" Type="http://schemas.openxmlformats.org/officeDocument/2006/relationships/webSettings" Target="webSettings.xml"/><Relationship Id="rId7" Type="http://schemas.openxmlformats.org/officeDocument/2006/relationships/hyperlink" Target="https://eur01.safelinks.protection.outlook.com/?url=https%3A%2F%2Fwww.legislation.gov.uk%2Fukdsi%2F2023%2F9780348252651%2Fpdfs%2Fukdsiem_9780348252651_en_001.pdf&amp;data=05%7C01%7CJenny.Fletcher%40gov.wales%7C6097728e6cff4d93eb2408dbd3c6ff29%7Ca2cc36c592804ae78887d06dab89216b%7C0%7C1%7C638336623891321486%7CUnknown%7CTWFpbGZsb3d8eyJWIjoiMC4wLjAwMDAiLCJQIjoiV2luMzIiLCJBTiI6Ik1haWwiLCJXVCI6Mn0%3D%7C3000%7C%7C%7C&amp;sdata=Gw14%2FSEhsMSJwEcPyeWs0JGSX0gagLVOrR9i%2FTXJtkY%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1.safelinks.protection.outlook.com/?url=https%3A%2F%2Fwww.legislation.gov.uk%2Fukdsi%2F2023%2F9780348252651%2Fpdfs%2Fukdsi_9780348252651_en.pdf&amp;data=05%7C01%7CJenny.Fletcher%40gov.wales%7C6097728e6cff4d93eb2408dbd3c6ff29%7Ca2cc36c592804ae78887d06dab89216b%7C0%7C1%7C638336623891321486%7CUnknown%7CTWFpbGZsb3d8eyJWIjoiMC4wLjAwMDAiLCJQIjoiV2luMzIiLCJBTiI6Ik1haWwiLCJXVCI6Mn0%3D%7C3000%7C%7C%7C&amp;sdata=zY6LJc7VVnjBpZR54i8VQ%2BDfgqlaHWJOQPnZoMTAjUs%3D&amp;reserved=0" TargetMode="External"/><Relationship Id="rId5" Type="http://schemas.openxmlformats.org/officeDocument/2006/relationships/hyperlink" Target="https://eur01.safelinks.protection.outlook.com/?url=https%3A%2F%2Fwww.legislation.gov.uk%2Fukdsi%2F2023%2F9780348252651%2Fpdfs%2Fukdsi_9780348252651_en.pdf&amp;data=05%7C01%7CJenny.Fletcher%40gov.wales%7C6097728e6cff4d93eb2408dbd3c6ff29%7Ca2cc36c592804ae78887d06dab89216b%7C0%7C1%7C638336623891321486%7CUnknown%7CTWFpbGZsb3d8eyJWIjoiMC4wLjAwMDAiLCJQIjoiV2luMzIiLCJBTiI6Ik1haWwiLCJXVCI6Mn0%3D%7C3000%7C%7C%7C&amp;sdata=zY6LJc7VVnjBpZR54i8VQ%2BDfgqlaHWJOQPnZoMTAjUs%3D&amp;reserved=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4925</Characters>
  <Application>Microsoft Office Word</Application>
  <DocSecurity>0</DocSecurity>
  <Lines>41</Lines>
  <Paragraphs>11</Paragraphs>
  <ScaleCrop>false</ScaleCrop>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Daniel (E&amp;M - Landscapes, Nature &amp; Forestry)</dc:creator>
  <cp:lastModifiedBy>Carey, Helen (OFM - Cabinet Division)</cp:lastModifiedBy>
  <cp:revision>2</cp:revision>
  <dcterms:created xsi:type="dcterms:W3CDTF">2023-10-24T13:19:00Z</dcterms:created>
  <dcterms:modified xsi:type="dcterms:W3CDTF">2023-10-24T13:22:00Z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2023-10-24T00:00:00Z</vt:filetime>
  </property>
  <property fmtid="{D5CDD505-2E9C-101B-9397-08002B2CF9AE}" pid="3" name="Creator">
    <vt:lpwstr>Acrobat PDFMaker 23 for Word</vt:lpwstr>
  </property>
  <property fmtid="{D5CDD505-2E9C-101B-9397-08002B2CF9AE}" pid="4" name="LastSaved">
    <vt:filetime>2023-10-24T00:00:00Z</vt:filetime>
  </property>
</Properties>
</file>